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B670" w14:textId="007CE131" w:rsidR="00FC6E22" w:rsidRDefault="00FC6E22" w:rsidP="00FC6E22">
      <w:pPr>
        <w:pStyle w:val="BodyText"/>
        <w:ind w:left="-1701"/>
        <w:jc w:val="center"/>
        <w:rPr>
          <w:sz w:val="20"/>
        </w:rPr>
      </w:pPr>
    </w:p>
    <w:p w14:paraId="46E0D720" w14:textId="02DBED21" w:rsidR="00612667" w:rsidRDefault="00F3063D" w:rsidP="00B20376">
      <w:pPr>
        <w:pStyle w:val="Title"/>
        <w:jc w:val="center"/>
        <w:rPr>
          <w:color w:val="44536A"/>
          <w:w w:val="110"/>
        </w:rPr>
      </w:pPr>
      <w:r>
        <w:rPr>
          <w:noProof/>
        </w:rPr>
        <w:drawing>
          <wp:inline distT="0" distB="0" distL="0" distR="0" wp14:anchorId="3BB7C75A" wp14:editId="049134D5">
            <wp:extent cx="2871470" cy="2590800"/>
            <wp:effectExtent l="0" t="0" r="0" b="0"/>
            <wp:docPr id="627514999"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14999" name="Picture 2" descr="A blue text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1380" cy="2599741"/>
                    </a:xfrm>
                    <a:prstGeom prst="rect">
                      <a:avLst/>
                    </a:prstGeom>
                    <a:noFill/>
                    <a:ln>
                      <a:noFill/>
                    </a:ln>
                  </pic:spPr>
                </pic:pic>
              </a:graphicData>
            </a:graphic>
          </wp:inline>
        </w:drawing>
      </w:r>
    </w:p>
    <w:p w14:paraId="1E579AC0" w14:textId="77777777" w:rsidR="00612667" w:rsidRDefault="00612667" w:rsidP="00B20376">
      <w:pPr>
        <w:pStyle w:val="Title"/>
        <w:jc w:val="center"/>
        <w:rPr>
          <w:color w:val="44536A"/>
          <w:w w:val="110"/>
        </w:rPr>
      </w:pPr>
    </w:p>
    <w:p w14:paraId="46B7D76F" w14:textId="25C3F636" w:rsidR="00FC6E22" w:rsidRDefault="00FC6E22" w:rsidP="00B20376">
      <w:pPr>
        <w:pStyle w:val="Title"/>
        <w:jc w:val="center"/>
        <w:rPr>
          <w:b/>
          <w:sz w:val="20"/>
        </w:rPr>
      </w:pPr>
      <w:r>
        <w:rPr>
          <w:color w:val="44536A"/>
          <w:w w:val="110"/>
        </w:rPr>
        <w:t>Reach</w:t>
      </w:r>
      <w:r>
        <w:rPr>
          <w:color w:val="44536A"/>
          <w:spacing w:val="-56"/>
          <w:w w:val="110"/>
        </w:rPr>
        <w:t xml:space="preserve"> </w:t>
      </w:r>
      <w:r>
        <w:rPr>
          <w:color w:val="44536A"/>
          <w:w w:val="110"/>
        </w:rPr>
        <w:t>Fund</w:t>
      </w:r>
      <w:r>
        <w:rPr>
          <w:color w:val="44536A"/>
          <w:spacing w:val="-56"/>
          <w:w w:val="110"/>
        </w:rPr>
        <w:t xml:space="preserve"> </w:t>
      </w:r>
      <w:r>
        <w:rPr>
          <w:color w:val="44536A"/>
          <w:w w:val="110"/>
        </w:rPr>
        <w:t>202</w:t>
      </w:r>
      <w:r w:rsidR="00A54CE8">
        <w:rPr>
          <w:color w:val="44536A"/>
          <w:w w:val="110"/>
        </w:rPr>
        <w:t>6</w:t>
      </w:r>
      <w:r>
        <w:rPr>
          <w:color w:val="44536A"/>
          <w:w w:val="110"/>
        </w:rPr>
        <w:t xml:space="preserve"> </w:t>
      </w:r>
      <w:r>
        <w:rPr>
          <w:color w:val="44536A"/>
          <w:spacing w:val="-2"/>
          <w:w w:val="110"/>
        </w:rPr>
        <w:t>Guidelines</w:t>
      </w:r>
    </w:p>
    <w:p w14:paraId="15D0A4BA" w14:textId="77777777" w:rsidR="00FC6E22" w:rsidRDefault="00FC6E22" w:rsidP="00FC6E22">
      <w:pPr>
        <w:pStyle w:val="BodyText"/>
        <w:rPr>
          <w:b/>
          <w:sz w:val="20"/>
        </w:rPr>
      </w:pPr>
    </w:p>
    <w:p w14:paraId="004C4087" w14:textId="77777777" w:rsidR="00FC6E22" w:rsidRDefault="00FC6E22" w:rsidP="00FC6E22">
      <w:pPr>
        <w:pStyle w:val="BodyText"/>
        <w:rPr>
          <w:b/>
          <w:sz w:val="20"/>
        </w:rPr>
      </w:pPr>
    </w:p>
    <w:p w14:paraId="08541D10" w14:textId="77777777" w:rsidR="00FC6E22" w:rsidRDefault="00FC6E22" w:rsidP="00FC6E22">
      <w:pPr>
        <w:pStyle w:val="BodyText"/>
        <w:rPr>
          <w:b/>
          <w:sz w:val="20"/>
        </w:rPr>
      </w:pPr>
    </w:p>
    <w:p w14:paraId="1DEBB420" w14:textId="77777777" w:rsidR="00FC6E22" w:rsidRDefault="00FC6E22" w:rsidP="00FC6E22">
      <w:pPr>
        <w:pStyle w:val="BodyText"/>
        <w:rPr>
          <w:b/>
          <w:sz w:val="20"/>
        </w:rPr>
      </w:pPr>
    </w:p>
    <w:p w14:paraId="7669F226" w14:textId="77777777" w:rsidR="00FC6E22" w:rsidRDefault="00FC6E22" w:rsidP="00FC6E22">
      <w:pPr>
        <w:pStyle w:val="BodyText"/>
        <w:rPr>
          <w:b/>
          <w:sz w:val="20"/>
        </w:rPr>
      </w:pPr>
    </w:p>
    <w:p w14:paraId="597B9826" w14:textId="77777777" w:rsidR="00FC6E22" w:rsidRDefault="00FC6E22" w:rsidP="00FC6E22">
      <w:pPr>
        <w:pStyle w:val="BodyText"/>
        <w:spacing w:before="218"/>
        <w:rPr>
          <w:b/>
          <w:sz w:val="20"/>
        </w:rPr>
      </w:pPr>
    </w:p>
    <w:p w14:paraId="7588C118" w14:textId="77777777" w:rsidR="00FC6E22" w:rsidRDefault="00FC6E22" w:rsidP="00FC6E22">
      <w:pPr>
        <w:pStyle w:val="BodyText"/>
        <w:ind w:left="170"/>
        <w:rPr>
          <w:sz w:val="20"/>
        </w:rPr>
      </w:pPr>
      <w:r>
        <w:rPr>
          <w:noProof/>
          <w:sz w:val="20"/>
        </w:rPr>
        <mc:AlternateContent>
          <mc:Choice Requires="wpg">
            <w:drawing>
              <wp:inline distT="0" distB="0" distL="0" distR="0" wp14:anchorId="761D31C3" wp14:editId="0796D7DC">
                <wp:extent cx="5654675" cy="1200150"/>
                <wp:effectExtent l="0" t="0" r="22225" b="190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4675" cy="1200150"/>
                          <a:chOff x="0" y="0"/>
                          <a:chExt cx="5716270" cy="1641475"/>
                        </a:xfrm>
                      </wpg:grpSpPr>
                      <wps:wsp>
                        <wps:cNvPr id="3" name="Graphic 3"/>
                        <wps:cNvSpPr/>
                        <wps:spPr>
                          <a:xfrm>
                            <a:off x="6350" y="6350"/>
                            <a:ext cx="5703570" cy="1628775"/>
                          </a:xfrm>
                          <a:custGeom>
                            <a:avLst/>
                            <a:gdLst/>
                            <a:ahLst/>
                            <a:cxnLst/>
                            <a:rect l="l" t="t" r="r" b="b"/>
                            <a:pathLst>
                              <a:path w="5703570" h="1628775">
                                <a:moveTo>
                                  <a:pt x="0" y="271525"/>
                                </a:moveTo>
                                <a:lnTo>
                                  <a:pt x="4373" y="222711"/>
                                </a:lnTo>
                                <a:lnTo>
                                  <a:pt x="16983" y="176770"/>
                                </a:lnTo>
                                <a:lnTo>
                                  <a:pt x="37062" y="134469"/>
                                </a:lnTo>
                                <a:lnTo>
                                  <a:pt x="63844" y="96574"/>
                                </a:lnTo>
                                <a:lnTo>
                                  <a:pt x="96563" y="63850"/>
                                </a:lnTo>
                                <a:lnTo>
                                  <a:pt x="134450" y="37065"/>
                                </a:lnTo>
                                <a:lnTo>
                                  <a:pt x="176740" y="16984"/>
                                </a:lnTo>
                                <a:lnTo>
                                  <a:pt x="222667" y="4373"/>
                                </a:lnTo>
                                <a:lnTo>
                                  <a:pt x="271462" y="0"/>
                                </a:lnTo>
                                <a:lnTo>
                                  <a:pt x="5432044" y="0"/>
                                </a:lnTo>
                                <a:lnTo>
                                  <a:pt x="5480858" y="4373"/>
                                </a:lnTo>
                                <a:lnTo>
                                  <a:pt x="5526799" y="16984"/>
                                </a:lnTo>
                                <a:lnTo>
                                  <a:pt x="5569100" y="37065"/>
                                </a:lnTo>
                                <a:lnTo>
                                  <a:pt x="5606995" y="63850"/>
                                </a:lnTo>
                                <a:lnTo>
                                  <a:pt x="5639719" y="96574"/>
                                </a:lnTo>
                                <a:lnTo>
                                  <a:pt x="5666504" y="134469"/>
                                </a:lnTo>
                                <a:lnTo>
                                  <a:pt x="5686585" y="176770"/>
                                </a:lnTo>
                                <a:lnTo>
                                  <a:pt x="5699196" y="222711"/>
                                </a:lnTo>
                                <a:lnTo>
                                  <a:pt x="5703570" y="271525"/>
                                </a:lnTo>
                                <a:lnTo>
                                  <a:pt x="5703570" y="1357248"/>
                                </a:lnTo>
                                <a:lnTo>
                                  <a:pt x="5699196" y="1406063"/>
                                </a:lnTo>
                                <a:lnTo>
                                  <a:pt x="5686585" y="1452004"/>
                                </a:lnTo>
                                <a:lnTo>
                                  <a:pt x="5666504" y="1494305"/>
                                </a:lnTo>
                                <a:lnTo>
                                  <a:pt x="5639719" y="1532200"/>
                                </a:lnTo>
                                <a:lnTo>
                                  <a:pt x="5606995" y="1564924"/>
                                </a:lnTo>
                                <a:lnTo>
                                  <a:pt x="5569100" y="1591709"/>
                                </a:lnTo>
                                <a:lnTo>
                                  <a:pt x="5526799" y="1611790"/>
                                </a:lnTo>
                                <a:lnTo>
                                  <a:pt x="5480858" y="1624401"/>
                                </a:lnTo>
                                <a:lnTo>
                                  <a:pt x="5432044" y="1628775"/>
                                </a:lnTo>
                                <a:lnTo>
                                  <a:pt x="271462" y="1628775"/>
                                </a:lnTo>
                                <a:lnTo>
                                  <a:pt x="222667" y="1624401"/>
                                </a:lnTo>
                                <a:lnTo>
                                  <a:pt x="176740" y="1611790"/>
                                </a:lnTo>
                                <a:lnTo>
                                  <a:pt x="134450" y="1591709"/>
                                </a:lnTo>
                                <a:lnTo>
                                  <a:pt x="96563" y="1564924"/>
                                </a:lnTo>
                                <a:lnTo>
                                  <a:pt x="63844" y="1532200"/>
                                </a:lnTo>
                                <a:lnTo>
                                  <a:pt x="37062" y="1494305"/>
                                </a:lnTo>
                                <a:lnTo>
                                  <a:pt x="16983" y="1452004"/>
                                </a:lnTo>
                                <a:lnTo>
                                  <a:pt x="4373" y="1406063"/>
                                </a:lnTo>
                                <a:lnTo>
                                  <a:pt x="0" y="1357248"/>
                                </a:lnTo>
                                <a:lnTo>
                                  <a:pt x="0" y="271525"/>
                                </a:lnTo>
                                <a:close/>
                              </a:path>
                            </a:pathLst>
                          </a:custGeom>
                          <a:ln w="12700">
                            <a:solidFill>
                              <a:srgbClr val="44536A"/>
                            </a:solidFill>
                            <a:prstDash val="solid"/>
                          </a:ln>
                        </wps:spPr>
                        <wps:bodyPr wrap="square" lIns="0" tIns="0" rIns="0" bIns="0" rtlCol="0">
                          <a:prstTxWarp prst="textNoShape">
                            <a:avLst/>
                          </a:prstTxWarp>
                          <a:noAutofit/>
                        </wps:bodyPr>
                      </wps:wsp>
                      <wps:wsp>
                        <wps:cNvPr id="4" name="Textbox 4"/>
                        <wps:cNvSpPr txBox="1"/>
                        <wps:spPr>
                          <a:xfrm>
                            <a:off x="0" y="0"/>
                            <a:ext cx="5716270" cy="1641475"/>
                          </a:xfrm>
                          <a:prstGeom prst="rect">
                            <a:avLst/>
                          </a:prstGeom>
                        </wps:spPr>
                        <wps:txbx>
                          <w:txbxContent>
                            <w:p w14:paraId="3E1CC12C" w14:textId="203A851F" w:rsidR="00FC6E22" w:rsidRDefault="00FC6E22" w:rsidP="00FC6E22">
                              <w:pPr>
                                <w:spacing w:before="347"/>
                                <w:ind w:right="4"/>
                                <w:jc w:val="center"/>
                                <w:rPr>
                                  <w:sz w:val="32"/>
                                </w:rPr>
                              </w:pPr>
                              <w:r>
                                <w:rPr>
                                  <w:color w:val="44536A"/>
                                  <w:sz w:val="32"/>
                                </w:rPr>
                                <w:t>Closing</w:t>
                              </w:r>
                              <w:r>
                                <w:rPr>
                                  <w:color w:val="44536A"/>
                                  <w:spacing w:val="41"/>
                                  <w:sz w:val="32"/>
                                </w:rPr>
                                <w:t xml:space="preserve"> </w:t>
                              </w:r>
                              <w:r>
                                <w:rPr>
                                  <w:color w:val="44536A"/>
                                  <w:sz w:val="32"/>
                                </w:rPr>
                                <w:t>Date</w:t>
                              </w:r>
                              <w:r>
                                <w:rPr>
                                  <w:color w:val="44536A"/>
                                  <w:spacing w:val="48"/>
                                  <w:sz w:val="32"/>
                                </w:rPr>
                                <w:t xml:space="preserve"> </w:t>
                              </w:r>
                              <w:r>
                                <w:rPr>
                                  <w:color w:val="44536A"/>
                                  <w:sz w:val="32"/>
                                </w:rPr>
                                <w:t>for</w:t>
                              </w:r>
                              <w:r>
                                <w:rPr>
                                  <w:color w:val="44536A"/>
                                  <w:spacing w:val="43"/>
                                  <w:sz w:val="32"/>
                                </w:rPr>
                                <w:t xml:space="preserve"> </w:t>
                              </w:r>
                              <w:r>
                                <w:rPr>
                                  <w:color w:val="44536A"/>
                                  <w:sz w:val="32"/>
                                </w:rPr>
                                <w:t>receipt</w:t>
                              </w:r>
                              <w:r>
                                <w:rPr>
                                  <w:color w:val="44536A"/>
                                  <w:spacing w:val="45"/>
                                  <w:sz w:val="32"/>
                                </w:rPr>
                                <w:t xml:space="preserve"> </w:t>
                              </w:r>
                              <w:r>
                                <w:rPr>
                                  <w:color w:val="44536A"/>
                                  <w:sz w:val="32"/>
                                </w:rPr>
                                <w:t>of</w:t>
                              </w:r>
                              <w:r>
                                <w:rPr>
                                  <w:color w:val="44536A"/>
                                  <w:spacing w:val="43"/>
                                  <w:sz w:val="32"/>
                                </w:rPr>
                                <w:t xml:space="preserve"> </w:t>
                              </w:r>
                              <w:r>
                                <w:rPr>
                                  <w:color w:val="44536A"/>
                                  <w:sz w:val="32"/>
                                </w:rPr>
                                <w:t>applications</w:t>
                              </w:r>
                              <w:r>
                                <w:rPr>
                                  <w:color w:val="44536A"/>
                                  <w:spacing w:val="44"/>
                                  <w:sz w:val="32"/>
                                </w:rPr>
                                <w:t xml:space="preserve"> </w:t>
                              </w:r>
                              <w:r>
                                <w:rPr>
                                  <w:color w:val="44536A"/>
                                  <w:spacing w:val="-5"/>
                                  <w:sz w:val="32"/>
                                </w:rPr>
                                <w:t>is:</w:t>
                              </w:r>
                            </w:p>
                            <w:p w14:paraId="702B7C63" w14:textId="7BE0CA02" w:rsidR="00FC6E22" w:rsidRDefault="001501FF" w:rsidP="00FC6E22">
                              <w:pPr>
                                <w:spacing w:before="219"/>
                                <w:ind w:left="3" w:right="4"/>
                                <w:jc w:val="center"/>
                                <w:rPr>
                                  <w:b/>
                                  <w:sz w:val="36"/>
                                </w:rPr>
                              </w:pPr>
                              <w:r>
                                <w:rPr>
                                  <w:b/>
                                  <w:color w:val="44536A"/>
                                  <w:w w:val="105"/>
                                  <w:sz w:val="36"/>
                                </w:rPr>
                                <w:t xml:space="preserve">Thursday </w:t>
                              </w:r>
                              <w:r w:rsidR="008D29F0">
                                <w:rPr>
                                  <w:b/>
                                  <w:color w:val="44536A"/>
                                  <w:w w:val="105"/>
                                  <w:sz w:val="36"/>
                                </w:rPr>
                                <w:t>29</w:t>
                              </w:r>
                              <w:r w:rsidR="008D29F0" w:rsidRPr="008D29F0">
                                <w:rPr>
                                  <w:b/>
                                  <w:color w:val="44536A"/>
                                  <w:w w:val="105"/>
                                  <w:sz w:val="36"/>
                                  <w:vertAlign w:val="superscript"/>
                                </w:rPr>
                                <w:t>th</w:t>
                              </w:r>
                              <w:r w:rsidR="008D29F0">
                                <w:rPr>
                                  <w:b/>
                                  <w:color w:val="44536A"/>
                                  <w:w w:val="105"/>
                                  <w:sz w:val="36"/>
                                </w:rPr>
                                <w:t xml:space="preserve"> January 2026</w:t>
                              </w:r>
                              <w:r w:rsidR="00FC6E22" w:rsidRPr="00C241E8">
                                <w:rPr>
                                  <w:b/>
                                  <w:color w:val="44536A"/>
                                  <w:spacing w:val="-15"/>
                                  <w:w w:val="105"/>
                                  <w:sz w:val="36"/>
                                </w:rPr>
                                <w:t xml:space="preserve"> </w:t>
                              </w:r>
                            </w:p>
                          </w:txbxContent>
                        </wps:txbx>
                        <wps:bodyPr wrap="square" lIns="0" tIns="0" rIns="0" bIns="0" rtlCol="0">
                          <a:noAutofit/>
                        </wps:bodyPr>
                      </wps:wsp>
                    </wpg:wgp>
                  </a:graphicData>
                </a:graphic>
              </wp:inline>
            </w:drawing>
          </mc:Choice>
          <mc:Fallback>
            <w:pict>
              <v:group w14:anchorId="761D31C3" id="Group 2" o:spid="_x0000_s1026" style="width:445.25pt;height:94.5pt;mso-position-horizontal-relative:char;mso-position-vertical-relative:line" coordsize="57162,1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">
                <v:shape id="Graphic 3" o:spid="_x0000_s1027" style="position:absolute;left:63;top:63;width:57036;height:16288;visibility:visible;mso-wrap-style:square;v-text-anchor:top" coordsize="5703570,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" path="m,271525l4373,222711,16983,176770,37062,134469,63844,96574,96563,63850,134450,37065,176740,16984,222667,4373,271462,,5432044,r48814,4373l5526799,16984r42301,20081l5606995,63850r32724,32724l5666504,134469r20081,42301l5699196,222711r4374,48814l5703570,1357248r-4374,48815l5686585,1452004r-20081,42301l5639719,1532200r-32724,32724l5569100,1591709r-42301,20081l5480858,1624401r-48814,4374l271462,1628775r-48795,-4374l176740,1611790r-42290,-20081l96563,1564924,63844,1532200,37062,1494305,16983,1452004,4373,1406063,,1357248,,271525xe" filled="f" strokecolor="#44536a" strokeweight="1pt">
                  <v:path arrowok="t"/>
                </v:shape>
                <v:shapetype id="_x0000_t202" coordsize="21600,21600" o:spt="202" path="m,l,21600r21600,l21600,xe">
                  <v:stroke joinstyle="miter"/>
                  <v:path gradientshapeok="t" o:connecttype="rect"/>
                </v:shapetype>
                <v:shape id="Textbox 4" o:spid="_x0000_s1028" type="#_x0000_t202" style="position:absolute;width:57162;height:1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E1CC12C" w14:textId="203A851F" w:rsidR="00FC6E22" w:rsidRDefault="00FC6E22" w:rsidP="00FC6E22">
                        <w:pPr>
                          <w:spacing w:before="347"/>
                          <w:ind w:right="4"/>
                          <w:jc w:val="center"/>
                          <w:rPr>
                            <w:sz w:val="32"/>
                          </w:rPr>
                        </w:pPr>
                        <w:r>
                          <w:rPr>
                            <w:color w:val="44536A"/>
                            <w:sz w:val="32"/>
                          </w:rPr>
                          <w:t>Closing</w:t>
                        </w:r>
                        <w:r>
                          <w:rPr>
                            <w:color w:val="44536A"/>
                            <w:spacing w:val="41"/>
                            <w:sz w:val="32"/>
                          </w:rPr>
                          <w:t xml:space="preserve"> </w:t>
                        </w:r>
                        <w:r>
                          <w:rPr>
                            <w:color w:val="44536A"/>
                            <w:sz w:val="32"/>
                          </w:rPr>
                          <w:t>Date</w:t>
                        </w:r>
                        <w:r>
                          <w:rPr>
                            <w:color w:val="44536A"/>
                            <w:spacing w:val="48"/>
                            <w:sz w:val="32"/>
                          </w:rPr>
                          <w:t xml:space="preserve"> </w:t>
                        </w:r>
                        <w:r>
                          <w:rPr>
                            <w:color w:val="44536A"/>
                            <w:sz w:val="32"/>
                          </w:rPr>
                          <w:t>for</w:t>
                        </w:r>
                        <w:r>
                          <w:rPr>
                            <w:color w:val="44536A"/>
                            <w:spacing w:val="43"/>
                            <w:sz w:val="32"/>
                          </w:rPr>
                          <w:t xml:space="preserve"> </w:t>
                        </w:r>
                        <w:r>
                          <w:rPr>
                            <w:color w:val="44536A"/>
                            <w:sz w:val="32"/>
                          </w:rPr>
                          <w:t>receipt</w:t>
                        </w:r>
                        <w:r>
                          <w:rPr>
                            <w:color w:val="44536A"/>
                            <w:spacing w:val="45"/>
                            <w:sz w:val="32"/>
                          </w:rPr>
                          <w:t xml:space="preserve"> </w:t>
                        </w:r>
                        <w:r>
                          <w:rPr>
                            <w:color w:val="44536A"/>
                            <w:sz w:val="32"/>
                          </w:rPr>
                          <w:t>of</w:t>
                        </w:r>
                        <w:r>
                          <w:rPr>
                            <w:color w:val="44536A"/>
                            <w:spacing w:val="43"/>
                            <w:sz w:val="32"/>
                          </w:rPr>
                          <w:t xml:space="preserve"> </w:t>
                        </w:r>
                        <w:r>
                          <w:rPr>
                            <w:color w:val="44536A"/>
                            <w:sz w:val="32"/>
                          </w:rPr>
                          <w:t>applications</w:t>
                        </w:r>
                        <w:r>
                          <w:rPr>
                            <w:color w:val="44536A"/>
                            <w:spacing w:val="44"/>
                            <w:sz w:val="32"/>
                          </w:rPr>
                          <w:t xml:space="preserve"> </w:t>
                        </w:r>
                        <w:r>
                          <w:rPr>
                            <w:color w:val="44536A"/>
                            <w:spacing w:val="-5"/>
                            <w:sz w:val="32"/>
                          </w:rPr>
                          <w:t>is:</w:t>
                        </w:r>
                      </w:p>
                      <w:p w14:paraId="702B7C63" w14:textId="7BE0CA02" w:rsidR="00FC6E22" w:rsidRDefault="001501FF" w:rsidP="00FC6E22">
                        <w:pPr>
                          <w:spacing w:before="219"/>
                          <w:ind w:left="3" w:right="4"/>
                          <w:jc w:val="center"/>
                          <w:rPr>
                            <w:b/>
                            <w:sz w:val="36"/>
                          </w:rPr>
                        </w:pPr>
                        <w:r>
                          <w:rPr>
                            <w:b/>
                            <w:color w:val="44536A"/>
                            <w:w w:val="105"/>
                            <w:sz w:val="36"/>
                          </w:rPr>
                          <w:t xml:space="preserve">Thursday </w:t>
                        </w:r>
                        <w:r w:rsidR="008D29F0">
                          <w:rPr>
                            <w:b/>
                            <w:color w:val="44536A"/>
                            <w:w w:val="105"/>
                            <w:sz w:val="36"/>
                          </w:rPr>
                          <w:t>29</w:t>
                        </w:r>
                        <w:r w:rsidR="008D29F0" w:rsidRPr="008D29F0">
                          <w:rPr>
                            <w:b/>
                            <w:color w:val="44536A"/>
                            <w:w w:val="105"/>
                            <w:sz w:val="36"/>
                            <w:vertAlign w:val="superscript"/>
                          </w:rPr>
                          <w:t>th</w:t>
                        </w:r>
                        <w:r w:rsidR="008D29F0">
                          <w:rPr>
                            <w:b/>
                            <w:color w:val="44536A"/>
                            <w:w w:val="105"/>
                            <w:sz w:val="36"/>
                          </w:rPr>
                          <w:t xml:space="preserve"> January 2026</w:t>
                        </w:r>
                        <w:r w:rsidR="00FC6E22" w:rsidRPr="00C241E8">
                          <w:rPr>
                            <w:b/>
                            <w:color w:val="44536A"/>
                            <w:spacing w:val="-15"/>
                            <w:w w:val="105"/>
                            <w:sz w:val="36"/>
                          </w:rPr>
                          <w:t xml:space="preserve"> </w:t>
                        </w:r>
                      </w:p>
                    </w:txbxContent>
                  </v:textbox>
                </v:shape>
                <w10:anchorlock/>
              </v:group>
            </w:pict>
          </mc:Fallback>
        </mc:AlternateContent>
      </w:r>
    </w:p>
    <w:p w14:paraId="1A64A703" w14:textId="77777777" w:rsidR="00FC6E22" w:rsidRDefault="00FC6E22" w:rsidP="00FC6E22">
      <w:pPr>
        <w:pStyle w:val="BodyText"/>
        <w:rPr>
          <w:b/>
          <w:sz w:val="20"/>
        </w:rPr>
      </w:pPr>
    </w:p>
    <w:p w14:paraId="2267EA25" w14:textId="77777777" w:rsidR="00FC6E22" w:rsidRDefault="00FC6E22" w:rsidP="00FC6E22">
      <w:pPr>
        <w:pStyle w:val="BodyText"/>
        <w:rPr>
          <w:b/>
          <w:sz w:val="20"/>
        </w:rPr>
      </w:pPr>
    </w:p>
    <w:p w14:paraId="078E4EEF" w14:textId="77777777" w:rsidR="00FC6E22" w:rsidRDefault="00FC6E22" w:rsidP="00FC6E22">
      <w:pPr>
        <w:pStyle w:val="BodyText"/>
        <w:rPr>
          <w:b/>
          <w:sz w:val="20"/>
        </w:rPr>
      </w:pPr>
    </w:p>
    <w:p w14:paraId="7976D0DB" w14:textId="77777777" w:rsidR="00FC6E22" w:rsidRDefault="00FC6E22" w:rsidP="00FC6E22">
      <w:pPr>
        <w:pStyle w:val="BodyText"/>
        <w:rPr>
          <w:b/>
          <w:sz w:val="20"/>
        </w:rPr>
      </w:pPr>
    </w:p>
    <w:p w14:paraId="5E375DF0" w14:textId="77777777" w:rsidR="00FC6E22" w:rsidRDefault="00FC6E22" w:rsidP="00FC6E22">
      <w:pPr>
        <w:pStyle w:val="BodyText"/>
        <w:rPr>
          <w:b/>
          <w:sz w:val="20"/>
        </w:rPr>
      </w:pPr>
    </w:p>
    <w:p w14:paraId="0D1BAE1C" w14:textId="77777777" w:rsidR="00FC6E22" w:rsidRDefault="00FC6E22" w:rsidP="00FC6E22">
      <w:pPr>
        <w:pStyle w:val="BodyText"/>
        <w:rPr>
          <w:b/>
          <w:sz w:val="20"/>
        </w:rPr>
      </w:pPr>
    </w:p>
    <w:p w14:paraId="79F32D8D" w14:textId="4557ECE2" w:rsidR="00FC6E22" w:rsidRDefault="00FC6E22" w:rsidP="00FC6E22">
      <w:pPr>
        <w:pStyle w:val="BodyText"/>
        <w:rPr>
          <w:b/>
          <w:sz w:val="20"/>
        </w:rPr>
      </w:pPr>
    </w:p>
    <w:p w14:paraId="01278212" w14:textId="6E50D16E" w:rsidR="00FC6E22" w:rsidRDefault="00FC6E22" w:rsidP="00612667">
      <w:pPr>
        <w:pStyle w:val="BodyText"/>
        <w:spacing w:before="97"/>
        <w:jc w:val="center"/>
        <w:rPr>
          <w:b/>
          <w:sz w:val="20"/>
        </w:rPr>
      </w:pPr>
    </w:p>
    <w:p w14:paraId="3F7C4622" w14:textId="7950D6C7" w:rsidR="00FC6E22" w:rsidRDefault="00FC6E22" w:rsidP="00FC6E22"/>
    <w:p w14:paraId="6B47BAAC" w14:textId="1BF79F4F" w:rsidR="00FC6E22" w:rsidRDefault="00FC6E22" w:rsidP="00FC6E22"/>
    <w:p w14:paraId="2B19B997" w14:textId="2D7F5FF3" w:rsidR="00B20376" w:rsidRDefault="00B7696F">
      <w:r>
        <w:rPr>
          <w:noProof/>
        </w:rPr>
        <w:drawing>
          <wp:anchor distT="0" distB="0" distL="114300" distR="114300" simplePos="0" relativeHeight="251658240" behindDoc="1" locked="0" layoutInCell="1" allowOverlap="1" wp14:anchorId="175B2117" wp14:editId="0A90B1D7">
            <wp:simplePos x="0" y="0"/>
            <wp:positionH relativeFrom="margin">
              <wp:align>center</wp:align>
            </wp:positionH>
            <wp:positionV relativeFrom="paragraph">
              <wp:posOffset>542925</wp:posOffset>
            </wp:positionV>
            <wp:extent cx="6458400" cy="716400"/>
            <wp:effectExtent l="0" t="0" r="0" b="7620"/>
            <wp:wrapNone/>
            <wp:docPr id="15665711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84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376">
        <w:br w:type="page"/>
      </w:r>
    </w:p>
    <w:p w14:paraId="5A2D2AE2" w14:textId="39D13CE4" w:rsidR="00FC6E22" w:rsidRPr="00B20376" w:rsidRDefault="00FC6E22" w:rsidP="00FC6E22">
      <w:pPr>
        <w:rPr>
          <w:sz w:val="32"/>
          <w:szCs w:val="32"/>
        </w:rPr>
      </w:pPr>
      <w:r w:rsidRPr="00B20376">
        <w:rPr>
          <w:sz w:val="32"/>
          <w:szCs w:val="32"/>
        </w:rPr>
        <w:lastRenderedPageBreak/>
        <w:t>Introduction</w:t>
      </w:r>
    </w:p>
    <w:p w14:paraId="11D2FBBE" w14:textId="77884A70" w:rsidR="00FC6E22" w:rsidRDefault="00FC6E22" w:rsidP="00FC6E22">
      <w:r>
        <w:t>City of Dublin ETB is delighted to open the Reach Fund 202</w:t>
      </w:r>
      <w:r w:rsidR="008D29F0">
        <w:t>6</w:t>
      </w:r>
      <w:r>
        <w:t xml:space="preserve"> for applications. The closing date for applications is </w:t>
      </w:r>
      <w:r w:rsidR="008D29F0">
        <w:t>Thursday 29</w:t>
      </w:r>
      <w:r w:rsidR="008D29F0" w:rsidRPr="008D29F0">
        <w:rPr>
          <w:vertAlign w:val="superscript"/>
        </w:rPr>
        <w:t>th</w:t>
      </w:r>
      <w:r w:rsidR="008D29F0">
        <w:t xml:space="preserve"> January 2026</w:t>
      </w:r>
      <w:r>
        <w:t>. Please note that applications received after the deadline will not be considered.</w:t>
      </w:r>
    </w:p>
    <w:p w14:paraId="6610611E" w14:textId="0C07A49A" w:rsidR="00FC6E22" w:rsidRDefault="00FC6E22" w:rsidP="00FC6E22">
      <w:r>
        <w:t>The aim of the Reach Fund 202</w:t>
      </w:r>
      <w:r w:rsidR="008D29F0">
        <w:t>6</w:t>
      </w:r>
      <w:r>
        <w:t xml:space="preserve"> is to provide support to the most educationally disadvantaged learners in accessing and participating in community education.</w:t>
      </w:r>
    </w:p>
    <w:p w14:paraId="1D6AA57A" w14:textId="77777777" w:rsidR="00FC6E22" w:rsidRDefault="00FC6E22" w:rsidP="00FC6E22"/>
    <w:p w14:paraId="299E9AE0" w14:textId="12CE1185" w:rsidR="00FC6E22" w:rsidRDefault="00FC6E22" w:rsidP="00B20376">
      <w:r>
        <w:t>These guidelines contain:</w:t>
      </w:r>
    </w:p>
    <w:p w14:paraId="065E0313" w14:textId="697BBE60" w:rsidR="00FC6E22" w:rsidRDefault="00FC6E22" w:rsidP="00B20376">
      <w:r>
        <w:t>Section 1: Overview of Reach Fund 202</w:t>
      </w:r>
      <w:r w:rsidR="00A54CE8">
        <w:t>6</w:t>
      </w:r>
      <w:r w:rsidR="007D61BD">
        <w:t xml:space="preserve">   ……………………………</w:t>
      </w:r>
      <w:r>
        <w:t xml:space="preserve">page </w:t>
      </w:r>
      <w:r w:rsidR="00247A44">
        <w:t>3</w:t>
      </w:r>
    </w:p>
    <w:p w14:paraId="64D8432A" w14:textId="6FF885EA" w:rsidR="00FC6E22" w:rsidRDefault="00FC6E22" w:rsidP="00B20376">
      <w:r>
        <w:t xml:space="preserve">Section 2: Applying for Reach Fund </w:t>
      </w:r>
      <w:proofErr w:type="gramStart"/>
      <w:r>
        <w:t>202</w:t>
      </w:r>
      <w:r w:rsidR="00A54CE8">
        <w:t>6</w:t>
      </w:r>
      <w:r w:rsidR="00612667">
        <w:t xml:space="preserve">  …</w:t>
      </w:r>
      <w:proofErr w:type="gramEnd"/>
      <w:r w:rsidR="00612667">
        <w:t>………………………</w:t>
      </w:r>
      <w:proofErr w:type="gramStart"/>
      <w:r w:rsidR="00612667">
        <w:t>….</w:t>
      </w:r>
      <w:r>
        <w:t>page</w:t>
      </w:r>
      <w:proofErr w:type="gramEnd"/>
      <w:r>
        <w:t xml:space="preserve"> </w:t>
      </w:r>
      <w:r w:rsidR="00247A44">
        <w:t>4</w:t>
      </w:r>
    </w:p>
    <w:p w14:paraId="210AEB9D" w14:textId="4664793B" w:rsidR="00FC6E22" w:rsidRDefault="00FC6E22" w:rsidP="00B20376">
      <w:r>
        <w:t xml:space="preserve">Section 3: Funding Terms and </w:t>
      </w:r>
      <w:proofErr w:type="gramStart"/>
      <w:r>
        <w:t>Conditions</w:t>
      </w:r>
      <w:r w:rsidR="00612667">
        <w:t xml:space="preserve">  …</w:t>
      </w:r>
      <w:proofErr w:type="gramEnd"/>
      <w:r w:rsidR="00612667">
        <w:t>…………………………</w:t>
      </w:r>
      <w:r w:rsidR="00B20376">
        <w:tab/>
      </w:r>
      <w:r>
        <w:t xml:space="preserve">page </w:t>
      </w:r>
      <w:r w:rsidR="00FE5B7B">
        <w:t>7</w:t>
      </w:r>
    </w:p>
    <w:p w14:paraId="2EEE3D24" w14:textId="6D0C91EC" w:rsidR="00FC6E22" w:rsidRDefault="00FC6E22" w:rsidP="00B20376">
      <w:r>
        <w:t xml:space="preserve">Section 4: Support with your </w:t>
      </w:r>
      <w:proofErr w:type="gramStart"/>
      <w:r>
        <w:t>Application</w:t>
      </w:r>
      <w:r w:rsidR="00612667">
        <w:t xml:space="preserve">  …</w:t>
      </w:r>
      <w:proofErr w:type="gramEnd"/>
      <w:r w:rsidR="00612667">
        <w:t>………………………….</w:t>
      </w:r>
      <w:r w:rsidR="00B20376">
        <w:tab/>
      </w:r>
      <w:r>
        <w:t xml:space="preserve">page </w:t>
      </w:r>
      <w:r w:rsidR="00247A44">
        <w:t>9</w:t>
      </w:r>
    </w:p>
    <w:p w14:paraId="0A69F0AA" w14:textId="282806D6" w:rsidR="00247A44" w:rsidRDefault="00FC6E22" w:rsidP="00247A44">
      <w:r>
        <w:t>Appendices</w:t>
      </w:r>
      <w:r w:rsidR="00612667">
        <w:t xml:space="preserve">   ……………………………………………………………………</w:t>
      </w:r>
      <w:r>
        <w:t xml:space="preserve">page </w:t>
      </w:r>
      <w:r w:rsidR="00247A44">
        <w:t>10</w:t>
      </w:r>
    </w:p>
    <w:p w14:paraId="63AB8498" w14:textId="77777777" w:rsidR="00FC6E22" w:rsidRDefault="00FC6E22" w:rsidP="00FC6E22">
      <w:r>
        <w:t xml:space="preserve"> </w:t>
      </w:r>
    </w:p>
    <w:p w14:paraId="61DFA374" w14:textId="77777777" w:rsidR="00B20376" w:rsidRDefault="00B20376">
      <w:r>
        <w:br w:type="page"/>
      </w:r>
    </w:p>
    <w:p w14:paraId="460AB161" w14:textId="5853CB9C" w:rsidR="00FC6E22" w:rsidRPr="00B20376" w:rsidRDefault="00FC6E22" w:rsidP="00FC6E22">
      <w:pPr>
        <w:rPr>
          <w:sz w:val="32"/>
          <w:szCs w:val="32"/>
        </w:rPr>
      </w:pPr>
      <w:r w:rsidRPr="00B20376">
        <w:rPr>
          <w:sz w:val="32"/>
          <w:szCs w:val="32"/>
        </w:rPr>
        <w:lastRenderedPageBreak/>
        <w:t>Section 1: Overview of the Reach Fund 202</w:t>
      </w:r>
      <w:r w:rsidR="008D29F0">
        <w:rPr>
          <w:sz w:val="32"/>
          <w:szCs w:val="32"/>
        </w:rPr>
        <w:t>6</w:t>
      </w:r>
    </w:p>
    <w:p w14:paraId="66E14989" w14:textId="77777777" w:rsidR="00FC6E22" w:rsidRDefault="00FC6E22" w:rsidP="00FC6E22">
      <w:r>
        <w:t>The aim of Reach funding is to provide support to the most educationally disadvantaged learners in accessing and participating in community education initiatives.</w:t>
      </w:r>
    </w:p>
    <w:p w14:paraId="49FA6AE2" w14:textId="7538601D" w:rsidR="00B20376" w:rsidRDefault="00B20376" w:rsidP="00B20376">
      <w:r w:rsidRPr="00B20376">
        <w:t xml:space="preserve">As defined in the recently published ‘Community Education Framework – Transforming Learning’: “Community Education is both formal and non-formal learning led by communities for communities to support personal, social, educational, environmental, economic and community development”. </w:t>
      </w:r>
    </w:p>
    <w:p w14:paraId="5D87842A" w14:textId="02BA31D6" w:rsidR="00FC6E22" w:rsidRDefault="00FC6E22" w:rsidP="00FC6E22">
      <w:r>
        <w:t>The Reach Fund 202</w:t>
      </w:r>
      <w:r w:rsidR="008D29F0">
        <w:t>6</w:t>
      </w:r>
      <w:r>
        <w:t xml:space="preserve"> is not intended to support learners attending PLC courses, Youthreach programmes, etc., at N</w:t>
      </w:r>
      <w:r w:rsidR="005907C6">
        <w:t xml:space="preserve">ational </w:t>
      </w:r>
      <w:r>
        <w:t>F</w:t>
      </w:r>
      <w:r w:rsidR="005907C6">
        <w:t xml:space="preserve">ramework of </w:t>
      </w:r>
      <w:r>
        <w:t>Q</w:t>
      </w:r>
      <w:r w:rsidR="005907C6">
        <w:t>ualification</w:t>
      </w:r>
      <w:r w:rsidR="00EA35B6">
        <w:t>s</w:t>
      </w:r>
      <w:r>
        <w:t xml:space="preserve"> levels 4 or higher.</w:t>
      </w:r>
    </w:p>
    <w:p w14:paraId="6CD81EA6" w14:textId="77777777" w:rsidR="009A29F3" w:rsidRDefault="009A29F3" w:rsidP="00FC6E22"/>
    <w:p w14:paraId="47D36431" w14:textId="61D73FD3" w:rsidR="009A29F3" w:rsidRPr="007D61BD" w:rsidRDefault="009A29F3" w:rsidP="009A29F3">
      <w:pPr>
        <w:rPr>
          <w:b/>
          <w:bCs/>
        </w:rPr>
      </w:pPr>
      <w:r w:rsidRPr="007D61BD">
        <w:rPr>
          <w:b/>
          <w:bCs/>
        </w:rPr>
        <w:t xml:space="preserve">The </w:t>
      </w:r>
      <w:r w:rsidR="00FE5B7B">
        <w:rPr>
          <w:b/>
          <w:bCs/>
        </w:rPr>
        <w:t>P</w:t>
      </w:r>
      <w:r w:rsidRPr="007D61BD">
        <w:rPr>
          <w:b/>
          <w:bCs/>
        </w:rPr>
        <w:t>rinciples of Reach funding are:</w:t>
      </w:r>
    </w:p>
    <w:p w14:paraId="45A02268" w14:textId="5DAF0E17" w:rsidR="009A29F3" w:rsidRDefault="009A29F3" w:rsidP="009A29F3">
      <w:r>
        <w:t xml:space="preserve">To assist community education providers to widen and increase their capacity to deliver, support and encourage participation of educationally disadvantaged learners, particularly those on accredited programmes at </w:t>
      </w:r>
      <w:r w:rsidR="005907C6">
        <w:t>National Framework of Qualification</w:t>
      </w:r>
      <w:r w:rsidR="00EA35B6">
        <w:t>s</w:t>
      </w:r>
      <w:r w:rsidR="005907C6">
        <w:t xml:space="preserve"> </w:t>
      </w:r>
      <w:r>
        <w:t>levels 1 to 3.</w:t>
      </w:r>
    </w:p>
    <w:p w14:paraId="79981AA5" w14:textId="448B49D8" w:rsidR="009A29F3" w:rsidRDefault="009A29F3" w:rsidP="009A29F3">
      <w:r>
        <w:t>To support community education principles by including both formal and informal learning, addressing learners’ personal development, building skills while offering educational options through simplified pathways, and further opportunities to progress to other areas of FET and beyond.</w:t>
      </w:r>
    </w:p>
    <w:p w14:paraId="136A0672" w14:textId="77777777" w:rsidR="009A29F3" w:rsidRDefault="009A29F3" w:rsidP="009A29F3">
      <w:r>
        <w:t>To tackle inequalities and support access to community education.</w:t>
      </w:r>
    </w:p>
    <w:p w14:paraId="6052D27D" w14:textId="2A04D689" w:rsidR="009A29F3" w:rsidRDefault="009A29F3" w:rsidP="009A29F3">
      <w:r>
        <w:t>To support community education projects where clear evidence of viability exists, which ensures that the benefits of the investment are maintained beyond the funding period, enhancing the long-term impact of the funding.</w:t>
      </w:r>
    </w:p>
    <w:p w14:paraId="1D19E542" w14:textId="78036F07" w:rsidR="009A29F3" w:rsidRDefault="009A29F3" w:rsidP="009A29F3">
      <w:r>
        <w:t>To address topics such as climate justice education, education for sustainable development and building climate literacy.</w:t>
      </w:r>
    </w:p>
    <w:p w14:paraId="1695EB69" w14:textId="77777777" w:rsidR="008D29F0" w:rsidRDefault="008D29F0" w:rsidP="008D29F0">
      <w:pPr>
        <w:spacing w:after="0"/>
      </w:pPr>
      <w:r>
        <w:t xml:space="preserve">To widen and increase the participation of educationally disadvantaged </w:t>
      </w:r>
    </w:p>
    <w:p w14:paraId="1074E3C1" w14:textId="77777777" w:rsidR="008D29F0" w:rsidRDefault="008D29F0" w:rsidP="008D29F0">
      <w:pPr>
        <w:spacing w:after="0"/>
      </w:pPr>
      <w:r>
        <w:t xml:space="preserve">learners, particularly those at National Framework of Qualifications (NFQ) levels </w:t>
      </w:r>
    </w:p>
    <w:p w14:paraId="62EA4880" w14:textId="6F5216F6" w:rsidR="008D29F0" w:rsidRDefault="008D29F0" w:rsidP="008D29F0">
      <w:pPr>
        <w:spacing w:after="0"/>
      </w:pPr>
      <w:r>
        <w:t>1 to 3.</w:t>
      </w:r>
    </w:p>
    <w:p w14:paraId="2B098899" w14:textId="77777777" w:rsidR="008D29F0" w:rsidRDefault="008D29F0" w:rsidP="008D29F0">
      <w:pPr>
        <w:spacing w:after="0"/>
      </w:pPr>
    </w:p>
    <w:p w14:paraId="7F7EFD5A" w14:textId="45CA5D35" w:rsidR="008D29F0" w:rsidRDefault="008D29F0" w:rsidP="008D29F0">
      <w:pPr>
        <w:spacing w:after="0"/>
      </w:pPr>
      <w:r>
        <w:t>The Reach Fund 2026 is not intended to support learners attending PLC courses, Youthreach programmes, etc., at National Framework of Qualifications levels 4 or higher</w:t>
      </w:r>
    </w:p>
    <w:p w14:paraId="32E623E3" w14:textId="5CC8E59C" w:rsidR="00FC6E22" w:rsidRDefault="009A29F3" w:rsidP="009A29F3">
      <w:r w:rsidRPr="009A29F3">
        <w:lastRenderedPageBreak/>
        <w:t>Projects should not have any adverse impact on existing services or provision funded through ETBs.</w:t>
      </w:r>
    </w:p>
    <w:p w14:paraId="61FF40BA" w14:textId="77777777" w:rsidR="009A29F3" w:rsidRPr="009A29F3" w:rsidRDefault="009A29F3" w:rsidP="009A29F3">
      <w:pPr>
        <w:rPr>
          <w:b/>
          <w:bCs/>
        </w:rPr>
      </w:pPr>
    </w:p>
    <w:p w14:paraId="41FB9322" w14:textId="48984428" w:rsidR="00FC6E22" w:rsidRPr="009A29F3" w:rsidRDefault="00FC6E22" w:rsidP="00FC6E22">
      <w:pPr>
        <w:rPr>
          <w:sz w:val="32"/>
          <w:szCs w:val="32"/>
        </w:rPr>
      </w:pPr>
      <w:r w:rsidRPr="009A29F3">
        <w:rPr>
          <w:sz w:val="32"/>
          <w:szCs w:val="32"/>
        </w:rPr>
        <w:t>Section 2: Applying for Reach Fund 202</w:t>
      </w:r>
      <w:r w:rsidR="008D29F0">
        <w:rPr>
          <w:sz w:val="32"/>
          <w:szCs w:val="32"/>
        </w:rPr>
        <w:t>6</w:t>
      </w:r>
    </w:p>
    <w:p w14:paraId="7F442055" w14:textId="77777777" w:rsidR="007D61BD" w:rsidRDefault="007D61BD" w:rsidP="00FC6E22">
      <w:pPr>
        <w:rPr>
          <w:b/>
          <w:bCs/>
        </w:rPr>
      </w:pPr>
    </w:p>
    <w:p w14:paraId="6B4846C2" w14:textId="75E8CE6D" w:rsidR="00FC6E22" w:rsidRPr="007D61BD" w:rsidRDefault="00FC6E22" w:rsidP="00FC6E22">
      <w:pPr>
        <w:rPr>
          <w:b/>
          <w:bCs/>
        </w:rPr>
      </w:pPr>
      <w:r w:rsidRPr="007D61BD">
        <w:rPr>
          <w:b/>
          <w:bCs/>
        </w:rPr>
        <w:t>2.1</w:t>
      </w:r>
      <w:r w:rsidRPr="007D61BD">
        <w:rPr>
          <w:b/>
          <w:bCs/>
        </w:rPr>
        <w:tab/>
        <w:t>Application</w:t>
      </w:r>
    </w:p>
    <w:p w14:paraId="28BAB141" w14:textId="2D587142" w:rsidR="00FC6E22" w:rsidRDefault="00FC6E22" w:rsidP="1EB02A72">
      <w:pPr>
        <w:rPr>
          <w:rFonts w:ascii="Aptos" w:eastAsia="Aptos" w:hAnsi="Aptos" w:cs="Aptos"/>
          <w:color w:val="000000" w:themeColor="text1"/>
        </w:rPr>
      </w:pPr>
      <w:r>
        <w:t xml:space="preserve">To apply for the City of Dublin ETB Reach Fund </w:t>
      </w:r>
      <w:proofErr w:type="gramStart"/>
      <w:r>
        <w:t>202</w:t>
      </w:r>
      <w:r w:rsidR="008D29F0">
        <w:t>6</w:t>
      </w:r>
      <w:proofErr w:type="gramEnd"/>
      <w:r w:rsidR="2089D8AC">
        <w:t xml:space="preserve"> </w:t>
      </w:r>
      <w:r w:rsidR="00EA35B6">
        <w:t>submit</w:t>
      </w:r>
      <w:r w:rsidR="48131CE8">
        <w:t xml:space="preserve"> </w:t>
      </w:r>
      <w:proofErr w:type="gramStart"/>
      <w:r w:rsidR="48131CE8">
        <w:t>all of</w:t>
      </w:r>
      <w:proofErr w:type="gramEnd"/>
      <w:r w:rsidR="6D98F5B7">
        <w:t xml:space="preserve"> the following completed documents by </w:t>
      </w:r>
      <w:r w:rsidR="008D29F0">
        <w:t>Thursday 29</w:t>
      </w:r>
      <w:r w:rsidR="008D29F0" w:rsidRPr="008D29F0">
        <w:rPr>
          <w:vertAlign w:val="superscript"/>
        </w:rPr>
        <w:t>th</w:t>
      </w:r>
      <w:r w:rsidR="008D29F0">
        <w:t xml:space="preserve"> January 2026</w:t>
      </w:r>
      <w:r w:rsidR="6D98F5B7">
        <w:t xml:space="preserve"> </w:t>
      </w:r>
    </w:p>
    <w:p w14:paraId="56864668" w14:textId="74260A0A" w:rsidR="041B1B0E" w:rsidRDefault="041B1B0E" w:rsidP="2F52A7FE">
      <w:pPr>
        <w:pStyle w:val="ListParagraph"/>
        <w:spacing w:after="0" w:line="240" w:lineRule="auto"/>
        <w:ind w:left="1080"/>
        <w:rPr>
          <w:rFonts w:ascii="Aptos" w:eastAsia="Aptos" w:hAnsi="Aptos" w:cs="Aptos"/>
          <w:color w:val="000000" w:themeColor="text1"/>
        </w:rPr>
      </w:pPr>
    </w:p>
    <w:p w14:paraId="17667089" w14:textId="2C28B623" w:rsidR="041B1B0E" w:rsidRDefault="055D0D6D" w:rsidP="1043B16E">
      <w:pPr>
        <w:pStyle w:val="ListParagraph"/>
        <w:numPr>
          <w:ilvl w:val="0"/>
          <w:numId w:val="12"/>
        </w:numPr>
        <w:spacing w:after="0" w:line="240" w:lineRule="auto"/>
      </w:pPr>
      <w:r w:rsidRPr="1043B16E">
        <w:rPr>
          <w:rFonts w:ascii="Aptos" w:eastAsia="Aptos" w:hAnsi="Aptos" w:cs="Aptos"/>
          <w:color w:val="000000" w:themeColor="text1"/>
        </w:rPr>
        <w:t>The Online Application Form here</w:t>
      </w:r>
      <w:r w:rsidR="545546F4" w:rsidRPr="1043B16E">
        <w:rPr>
          <w:rFonts w:ascii="Aptos" w:eastAsia="Aptos" w:hAnsi="Aptos" w:cs="Aptos"/>
          <w:color w:val="000000" w:themeColor="text1"/>
        </w:rPr>
        <w:t>:</w:t>
      </w:r>
      <w:r w:rsidR="7167A47C" w:rsidRPr="1043B16E">
        <w:rPr>
          <w:rFonts w:ascii="Aptos" w:eastAsia="Aptos" w:hAnsi="Aptos" w:cs="Aptos"/>
          <w:color w:val="000000" w:themeColor="text1"/>
        </w:rPr>
        <w:t xml:space="preserve"> </w:t>
      </w:r>
      <w:hyperlink r:id="rId12">
        <w:r w:rsidR="7167A47C" w:rsidRPr="1043B16E">
          <w:rPr>
            <w:rStyle w:val="Hyperlink"/>
          </w:rPr>
          <w:t xml:space="preserve">Reach Fund 2026 Application Form - External </w:t>
        </w:r>
        <w:proofErr w:type="gramStart"/>
        <w:r w:rsidR="7167A47C" w:rsidRPr="1043B16E">
          <w:rPr>
            <w:rStyle w:val="Hyperlink"/>
          </w:rPr>
          <w:t>Applicants  –</w:t>
        </w:r>
        <w:proofErr w:type="gramEnd"/>
        <w:r w:rsidR="7167A47C" w:rsidRPr="1043B16E">
          <w:rPr>
            <w:rStyle w:val="Hyperlink"/>
          </w:rPr>
          <w:t xml:space="preserve"> Fill out form</w:t>
        </w:r>
      </w:hyperlink>
    </w:p>
    <w:p w14:paraId="42B59534" w14:textId="6243F1BC" w:rsidR="1043B16E" w:rsidRDefault="1043B16E" w:rsidP="1043B16E">
      <w:pPr>
        <w:pStyle w:val="ListParagraph"/>
        <w:spacing w:after="0" w:line="240" w:lineRule="auto"/>
        <w:ind w:left="1080"/>
      </w:pPr>
    </w:p>
    <w:p w14:paraId="7ED9FA6F" w14:textId="60747C3F" w:rsidR="055D0D6D" w:rsidRDefault="3C1179DB" w:rsidP="2F52A7FE">
      <w:pPr>
        <w:spacing w:after="0" w:line="240" w:lineRule="auto"/>
        <w:rPr>
          <w:rFonts w:ascii="Aptos" w:eastAsia="Aptos" w:hAnsi="Aptos" w:cs="Aptos"/>
          <w:color w:val="000000" w:themeColor="text1"/>
        </w:rPr>
      </w:pPr>
      <w:r w:rsidRPr="1EB02A72">
        <w:rPr>
          <w:rFonts w:ascii="Aptos" w:eastAsia="Aptos" w:hAnsi="Aptos" w:cs="Aptos"/>
          <w:color w:val="000000" w:themeColor="text1"/>
        </w:rPr>
        <w:t>T</w:t>
      </w:r>
      <w:r w:rsidR="055D0D6D" w:rsidRPr="1EB02A72">
        <w:rPr>
          <w:rFonts w:ascii="Aptos" w:eastAsia="Aptos" w:hAnsi="Aptos" w:cs="Aptos"/>
          <w:color w:val="000000" w:themeColor="text1"/>
        </w:rPr>
        <w:t xml:space="preserve">he following documents </w:t>
      </w:r>
      <w:r w:rsidR="31FE161E" w:rsidRPr="1EB02A72">
        <w:rPr>
          <w:rFonts w:ascii="Aptos" w:eastAsia="Aptos" w:hAnsi="Aptos" w:cs="Aptos"/>
          <w:color w:val="000000" w:themeColor="text1"/>
        </w:rPr>
        <w:t xml:space="preserve">must be submitted </w:t>
      </w:r>
      <w:r w:rsidR="055D0D6D" w:rsidRPr="1EB02A72">
        <w:rPr>
          <w:rFonts w:ascii="Aptos" w:eastAsia="Aptos" w:hAnsi="Aptos" w:cs="Aptos"/>
          <w:color w:val="000000" w:themeColor="text1"/>
        </w:rPr>
        <w:t>to </w:t>
      </w:r>
      <w:hyperlink r:id="rId13">
        <w:r w:rsidR="055D0D6D" w:rsidRPr="1EB02A72">
          <w:rPr>
            <w:rStyle w:val="Hyperlink"/>
            <w:rFonts w:ascii="Aptos" w:eastAsia="Aptos" w:hAnsi="Aptos" w:cs="Aptos"/>
          </w:rPr>
          <w:t>info@aes.cdetb.ie</w:t>
        </w:r>
      </w:hyperlink>
    </w:p>
    <w:p w14:paraId="39A0D2FF" w14:textId="3E1DEB9D" w:rsidR="1EB02A72" w:rsidRDefault="1EB02A72" w:rsidP="1EB02A72">
      <w:pPr>
        <w:spacing w:after="0" w:line="240" w:lineRule="auto"/>
        <w:rPr>
          <w:rFonts w:ascii="Aptos" w:eastAsia="Aptos" w:hAnsi="Aptos" w:cs="Aptos"/>
        </w:rPr>
      </w:pPr>
    </w:p>
    <w:p w14:paraId="1D381636" w14:textId="5A6D868F" w:rsidR="055D0D6D" w:rsidRDefault="055D0D6D" w:rsidP="041B1B0E">
      <w:pPr>
        <w:pStyle w:val="ListParagraph"/>
        <w:numPr>
          <w:ilvl w:val="0"/>
          <w:numId w:val="12"/>
        </w:numPr>
        <w:spacing w:after="0" w:line="240" w:lineRule="auto"/>
        <w:rPr>
          <w:rFonts w:ascii="Aptos" w:eastAsia="Aptos" w:hAnsi="Aptos" w:cs="Aptos"/>
          <w:color w:val="000000" w:themeColor="text1"/>
        </w:rPr>
      </w:pPr>
      <w:r w:rsidRPr="041B1B0E">
        <w:rPr>
          <w:rFonts w:ascii="Aptos" w:eastAsia="Aptos" w:hAnsi="Aptos" w:cs="Aptos"/>
          <w:color w:val="000000" w:themeColor="text1"/>
        </w:rPr>
        <w:t xml:space="preserve">Breakdown of Costings </w:t>
      </w:r>
    </w:p>
    <w:p w14:paraId="56AACDAE" w14:textId="669A6C80" w:rsidR="055D0D6D" w:rsidRDefault="055D0D6D" w:rsidP="041B1B0E">
      <w:pPr>
        <w:pStyle w:val="ListParagraph"/>
        <w:numPr>
          <w:ilvl w:val="0"/>
          <w:numId w:val="12"/>
        </w:numPr>
        <w:spacing w:after="0" w:line="240" w:lineRule="auto"/>
        <w:rPr>
          <w:rFonts w:ascii="Aptos" w:eastAsia="Aptos" w:hAnsi="Aptos" w:cs="Aptos"/>
          <w:color w:val="000000" w:themeColor="text1"/>
        </w:rPr>
      </w:pPr>
      <w:r w:rsidRPr="041B1B0E">
        <w:rPr>
          <w:rFonts w:ascii="Aptos" w:eastAsia="Aptos" w:hAnsi="Aptos" w:cs="Aptos"/>
          <w:color w:val="000000" w:themeColor="text1"/>
        </w:rPr>
        <w:t>Copies of quotations where necessary</w:t>
      </w:r>
    </w:p>
    <w:p w14:paraId="0ADFE80A" w14:textId="68648DED" w:rsidR="055D0D6D" w:rsidRDefault="055D0D6D" w:rsidP="041B1B0E">
      <w:pPr>
        <w:pStyle w:val="ListParagraph"/>
        <w:numPr>
          <w:ilvl w:val="0"/>
          <w:numId w:val="12"/>
        </w:numPr>
        <w:spacing w:after="0" w:line="240" w:lineRule="auto"/>
        <w:rPr>
          <w:rFonts w:ascii="Aptos" w:eastAsia="Aptos" w:hAnsi="Aptos" w:cs="Aptos"/>
          <w:color w:val="000000" w:themeColor="text1"/>
        </w:rPr>
      </w:pPr>
      <w:r w:rsidRPr="041B1B0E">
        <w:rPr>
          <w:rFonts w:ascii="Aptos" w:eastAsia="Aptos" w:hAnsi="Aptos" w:cs="Aptos"/>
          <w:color w:val="000000" w:themeColor="text1"/>
        </w:rPr>
        <w:t>A signed copy of your 202</w:t>
      </w:r>
      <w:r w:rsidR="008D29F0">
        <w:rPr>
          <w:rFonts w:ascii="Aptos" w:eastAsia="Aptos" w:hAnsi="Aptos" w:cs="Aptos"/>
          <w:color w:val="000000" w:themeColor="text1"/>
        </w:rPr>
        <w:t>4</w:t>
      </w:r>
      <w:r w:rsidRPr="041B1B0E">
        <w:rPr>
          <w:rFonts w:ascii="Aptos" w:eastAsia="Aptos" w:hAnsi="Aptos" w:cs="Aptos"/>
          <w:color w:val="000000" w:themeColor="text1"/>
        </w:rPr>
        <w:t xml:space="preserve"> audited accounts.</w:t>
      </w:r>
    </w:p>
    <w:p w14:paraId="06A6E558" w14:textId="64B68E45" w:rsidR="041B1B0E" w:rsidRDefault="041B1B0E" w:rsidP="2F52A7FE">
      <w:pPr>
        <w:pStyle w:val="ListParagraph"/>
        <w:ind w:left="1080"/>
      </w:pPr>
    </w:p>
    <w:p w14:paraId="4AD57257" w14:textId="5683C8CB" w:rsidR="00FC6E22" w:rsidRDefault="00FC6E22" w:rsidP="00FC6E22">
      <w:r>
        <w:t>Please note that 202</w:t>
      </w:r>
      <w:r w:rsidR="008D29F0">
        <w:t>5</w:t>
      </w:r>
      <w:r>
        <w:t xml:space="preserve"> signed audited accounts must be forwarded to City of Dublin ETB by 30th June 202</w:t>
      </w:r>
      <w:r w:rsidR="008D29F0">
        <w:t>6</w:t>
      </w:r>
      <w:r w:rsidR="009A29F3">
        <w:t>.</w:t>
      </w:r>
    </w:p>
    <w:p w14:paraId="06EE6FF4" w14:textId="77777777" w:rsidR="00790F5E" w:rsidRDefault="00790F5E" w:rsidP="00FC6E22"/>
    <w:p w14:paraId="4F91F4DC" w14:textId="1359D3C2" w:rsidR="00790F5E" w:rsidRPr="00612667" w:rsidRDefault="00790F5E" w:rsidP="00FC6E22">
      <w:pPr>
        <w:rPr>
          <w:b/>
          <w:bCs/>
        </w:rPr>
      </w:pPr>
      <w:r w:rsidRPr="00612667">
        <w:rPr>
          <w:b/>
          <w:bCs/>
        </w:rPr>
        <w:t xml:space="preserve">2.2 </w:t>
      </w:r>
      <w:r w:rsidR="00612667">
        <w:rPr>
          <w:b/>
          <w:bCs/>
        </w:rPr>
        <w:tab/>
      </w:r>
      <w:r w:rsidRPr="00612667">
        <w:rPr>
          <w:b/>
          <w:bCs/>
        </w:rPr>
        <w:t xml:space="preserve">Eligible and Ineligible costs: </w:t>
      </w:r>
    </w:p>
    <w:p w14:paraId="46B54E38" w14:textId="30EBDE6F" w:rsidR="00790F5E" w:rsidRDefault="00790F5E" w:rsidP="00790F5E">
      <w:r w:rsidRPr="00B64646">
        <w:t>Quotations for</w:t>
      </w:r>
      <w:r>
        <w:t xml:space="preserve"> all</w:t>
      </w:r>
      <w:r w:rsidRPr="00B64646">
        <w:t xml:space="preserve"> orders over €1,000 ex</w:t>
      </w:r>
      <w:r w:rsidR="00612667">
        <w:t>cluding</w:t>
      </w:r>
      <w:r w:rsidRPr="00B64646">
        <w:t xml:space="preserve"> </w:t>
      </w:r>
      <w:r w:rsidR="00612667">
        <w:t>VAT</w:t>
      </w:r>
      <w:r w:rsidRPr="00B64646">
        <w:t xml:space="preserve"> must be included at application stage.</w:t>
      </w:r>
      <w:r>
        <w:t xml:space="preserve"> </w:t>
      </w:r>
    </w:p>
    <w:p w14:paraId="79362A2C" w14:textId="048D95B7" w:rsidR="009A29F3" w:rsidRDefault="00FC6E22" w:rsidP="00790F5E">
      <w:r>
        <w:t xml:space="preserve">All procurement guidelines must be abided to (see Appendix 1). </w:t>
      </w:r>
    </w:p>
    <w:p w14:paraId="0FFBA79F" w14:textId="77777777" w:rsidR="005F2F3D" w:rsidRDefault="005F2F3D" w:rsidP="00FC6E22">
      <w:pPr>
        <w:rPr>
          <w:u w:val="single"/>
        </w:rPr>
      </w:pPr>
    </w:p>
    <w:p w14:paraId="229BF633" w14:textId="1CA8BA31" w:rsidR="009A29F3" w:rsidRPr="009A29F3" w:rsidRDefault="009A29F3" w:rsidP="00FC6E22">
      <w:pPr>
        <w:rPr>
          <w:u w:val="single"/>
        </w:rPr>
      </w:pPr>
      <w:r w:rsidRPr="009A29F3">
        <w:rPr>
          <w:u w:val="single"/>
        </w:rPr>
        <w:t xml:space="preserve">Staff costs: </w:t>
      </w:r>
    </w:p>
    <w:p w14:paraId="37AB33AD" w14:textId="12041488" w:rsidR="007D61BD" w:rsidRDefault="009A29F3" w:rsidP="00FC6E22">
      <w:r w:rsidRPr="009A29F3">
        <w:t>Reach funding may be used for staff costs which are</w:t>
      </w:r>
      <w:r w:rsidR="007D61BD">
        <w:t>:</w:t>
      </w:r>
    </w:p>
    <w:p w14:paraId="259DC629" w14:textId="77777777" w:rsidR="007D61BD" w:rsidRDefault="009A29F3" w:rsidP="007D61BD">
      <w:pPr>
        <w:pStyle w:val="ListParagraph"/>
        <w:numPr>
          <w:ilvl w:val="0"/>
          <w:numId w:val="2"/>
        </w:numPr>
      </w:pPr>
      <w:r w:rsidRPr="009A29F3">
        <w:t xml:space="preserve">for a </w:t>
      </w:r>
      <w:r w:rsidRPr="007D61BD">
        <w:t xml:space="preserve">specific purpose or fixed term </w:t>
      </w:r>
    </w:p>
    <w:p w14:paraId="698F206B" w14:textId="77777777" w:rsidR="007D61BD" w:rsidRDefault="009A29F3" w:rsidP="007D61BD">
      <w:pPr>
        <w:pStyle w:val="ListParagraph"/>
      </w:pPr>
      <w:r w:rsidRPr="007D61BD">
        <w:t>and</w:t>
      </w:r>
    </w:p>
    <w:p w14:paraId="299C5870" w14:textId="77777777" w:rsidR="007D61BD" w:rsidRDefault="009A29F3" w:rsidP="007D61BD">
      <w:pPr>
        <w:pStyle w:val="ListParagraph"/>
        <w:numPr>
          <w:ilvl w:val="0"/>
          <w:numId w:val="2"/>
        </w:numPr>
      </w:pPr>
      <w:r w:rsidRPr="007D61BD">
        <w:t>relate directly to the Reach project.</w:t>
      </w:r>
      <w:r w:rsidRPr="009A29F3">
        <w:t xml:space="preserve"> </w:t>
      </w:r>
    </w:p>
    <w:p w14:paraId="330B7CA7" w14:textId="57F4113F" w:rsidR="00FC6E22" w:rsidRDefault="009A29F3" w:rsidP="007D61BD">
      <w:r w:rsidRPr="009A29F3">
        <w:lastRenderedPageBreak/>
        <w:t>Commitments/contracts must not extend beyond the end of 202</w:t>
      </w:r>
      <w:r w:rsidR="008D29F0">
        <w:t>6</w:t>
      </w:r>
      <w:r w:rsidRPr="009A29F3">
        <w:t>.</w:t>
      </w:r>
      <w:r>
        <w:t xml:space="preserve"> Applications must clearly show that they are fully compliant with Revenue and all employment legislation requirements. </w:t>
      </w:r>
    </w:p>
    <w:p w14:paraId="285C5077" w14:textId="4BF48BC6" w:rsidR="008D29F0" w:rsidRPr="008D29F0" w:rsidRDefault="008D29F0" w:rsidP="007D61BD">
      <w:pPr>
        <w:rPr>
          <w:u w:val="single"/>
        </w:rPr>
      </w:pPr>
      <w:r>
        <w:rPr>
          <w:u w:val="single"/>
        </w:rPr>
        <w:t>Ineligible costs</w:t>
      </w:r>
    </w:p>
    <w:p w14:paraId="2723A663" w14:textId="31FB4EC2" w:rsidR="00FC6E22" w:rsidRDefault="00FC6E22" w:rsidP="00FC6E22">
      <w:r>
        <w:t>The following expenditure is not eligible for Reach Fund 202</w:t>
      </w:r>
      <w:r w:rsidR="008D29F0">
        <w:t>6</w:t>
      </w:r>
      <w:r>
        <w:t>:</w:t>
      </w:r>
    </w:p>
    <w:p w14:paraId="1DB2E9E0" w14:textId="5A6AD5DE" w:rsidR="00FC6E22" w:rsidRDefault="00FC6E22" w:rsidP="00612667">
      <w:pPr>
        <w:pStyle w:val="ListParagraph"/>
        <w:numPr>
          <w:ilvl w:val="0"/>
          <w:numId w:val="10"/>
        </w:numPr>
      </w:pPr>
      <w:r>
        <w:t>Cost of a recurring nature</w:t>
      </w:r>
    </w:p>
    <w:p w14:paraId="73C2FBE8" w14:textId="2290C718" w:rsidR="00FC6E22" w:rsidRDefault="00FC6E22" w:rsidP="00612667">
      <w:pPr>
        <w:pStyle w:val="ListParagraph"/>
        <w:numPr>
          <w:ilvl w:val="0"/>
          <w:numId w:val="10"/>
        </w:numPr>
      </w:pPr>
      <w:r>
        <w:t>Capital items</w:t>
      </w:r>
      <w:r w:rsidR="007D61BD">
        <w:t xml:space="preserve"> (</w:t>
      </w:r>
      <w:r w:rsidR="007D61BD" w:rsidRPr="007D61BD">
        <w:t>the cost of any item exceeding €1,000 excluding VAT</w:t>
      </w:r>
      <w:r w:rsidR="007D61BD">
        <w:t>)</w:t>
      </w:r>
    </w:p>
    <w:p w14:paraId="1A46E2B4" w14:textId="6BE2FAB4" w:rsidR="00FC6E22" w:rsidRDefault="00FC6E22" w:rsidP="00612667">
      <w:pPr>
        <w:pStyle w:val="ListParagraph"/>
        <w:numPr>
          <w:ilvl w:val="0"/>
          <w:numId w:val="10"/>
        </w:numPr>
      </w:pPr>
      <w:r>
        <w:t>Vouchers for Learners.</w:t>
      </w:r>
    </w:p>
    <w:p w14:paraId="060E7CB8" w14:textId="2CF8A790" w:rsidR="22B56B0D" w:rsidRDefault="00B64646" w:rsidP="22B56B0D">
      <w:pPr>
        <w:pStyle w:val="ListParagraph"/>
        <w:numPr>
          <w:ilvl w:val="0"/>
          <w:numId w:val="10"/>
        </w:numPr>
      </w:pPr>
      <w:r>
        <w:t>Programme Validation Costs</w:t>
      </w:r>
    </w:p>
    <w:p w14:paraId="2F2B2683" w14:textId="77777777" w:rsidR="008D29F0" w:rsidRDefault="008D29F0" w:rsidP="00FC6E22">
      <w:pPr>
        <w:rPr>
          <w:b/>
          <w:bCs/>
        </w:rPr>
      </w:pPr>
    </w:p>
    <w:p w14:paraId="734B9AFF" w14:textId="7FA31A0B" w:rsidR="00FC6E22" w:rsidRPr="00FF4729" w:rsidRDefault="00FC6E22" w:rsidP="00FC6E22">
      <w:pPr>
        <w:rPr>
          <w:b/>
          <w:bCs/>
        </w:rPr>
      </w:pPr>
      <w:r w:rsidRPr="00FF4729">
        <w:rPr>
          <w:b/>
          <w:bCs/>
        </w:rPr>
        <w:t>2.</w:t>
      </w:r>
      <w:r w:rsidR="00612667">
        <w:rPr>
          <w:b/>
          <w:bCs/>
        </w:rPr>
        <w:t>3</w:t>
      </w:r>
      <w:r w:rsidRPr="00FF4729">
        <w:rPr>
          <w:b/>
          <w:bCs/>
        </w:rPr>
        <w:tab/>
        <w:t>Funding Categories</w:t>
      </w:r>
    </w:p>
    <w:p w14:paraId="3686198E" w14:textId="2F60B01F" w:rsidR="00FC6E22" w:rsidRDefault="00FC6E22" w:rsidP="00FF4729">
      <w:r>
        <w:t>You must apply under one or more of the</w:t>
      </w:r>
      <w:r w:rsidR="00EA35B6">
        <w:t xml:space="preserve"> four</w:t>
      </w:r>
      <w:r>
        <w:t xml:space="preserve"> funding categories</w:t>
      </w:r>
      <w:r w:rsidR="00FF4729" w:rsidRPr="008D29F0">
        <w:t>. Organisations are encouraged to apply under one category for a project and not spread costs across multiple categories unless there is a strong justification for doing so.</w:t>
      </w:r>
      <w:r w:rsidR="00FF4729">
        <w:t xml:space="preserve"> </w:t>
      </w:r>
    </w:p>
    <w:p w14:paraId="0323F4C7" w14:textId="77777777" w:rsidR="008D29F0" w:rsidRDefault="008D29F0" w:rsidP="00FF4729"/>
    <w:p w14:paraId="3F4D93A8" w14:textId="06B9DC40" w:rsidR="00FF4729" w:rsidRPr="00FE5B7B" w:rsidRDefault="00FF4729" w:rsidP="00FF4729">
      <w:pPr>
        <w:pStyle w:val="ListParagraph"/>
        <w:numPr>
          <w:ilvl w:val="0"/>
          <w:numId w:val="8"/>
        </w:numPr>
        <w:rPr>
          <w:b/>
          <w:bCs/>
          <w:u w:val="single"/>
        </w:rPr>
      </w:pPr>
      <w:r w:rsidRPr="00FE5B7B">
        <w:rPr>
          <w:b/>
          <w:bCs/>
          <w:u w:val="single"/>
        </w:rPr>
        <w:t xml:space="preserve">Participation of </w:t>
      </w:r>
      <w:r w:rsidR="00EA35B6" w:rsidRPr="00FE5B7B">
        <w:rPr>
          <w:b/>
          <w:bCs/>
          <w:u w:val="single"/>
        </w:rPr>
        <w:t>P</w:t>
      </w:r>
      <w:r w:rsidRPr="00FE5B7B">
        <w:rPr>
          <w:b/>
          <w:bCs/>
          <w:u w:val="single"/>
        </w:rPr>
        <w:t xml:space="preserve">riority </w:t>
      </w:r>
      <w:r w:rsidR="00EA35B6" w:rsidRPr="00FE5B7B">
        <w:rPr>
          <w:b/>
          <w:bCs/>
          <w:u w:val="single"/>
        </w:rPr>
        <w:t>G</w:t>
      </w:r>
      <w:r w:rsidRPr="00FE5B7B">
        <w:rPr>
          <w:b/>
          <w:bCs/>
          <w:u w:val="single"/>
        </w:rPr>
        <w:t xml:space="preserve">roups </w:t>
      </w:r>
    </w:p>
    <w:p w14:paraId="2C2F17BF" w14:textId="07C99EE9" w:rsidR="00FF4729" w:rsidRDefault="00FF4729" w:rsidP="00FF4729">
      <w:r>
        <w:t>Projects focused on widening and increasing participation of priority groups in learning that offers accreditation at NFQ level 1 to 3, or on non-accredited programmes that provide clear pathways to accredited provision at NFQ levels 1 to 3.</w:t>
      </w:r>
    </w:p>
    <w:p w14:paraId="39B7F4B6" w14:textId="1F2F9092" w:rsidR="00612667" w:rsidRDefault="00612667" w:rsidP="00612667">
      <w:r>
        <w:t>The key priority groups for Reach funding, in line with those identified in the Community</w:t>
      </w:r>
    </w:p>
    <w:p w14:paraId="6133CBAC" w14:textId="77777777" w:rsidR="00612667" w:rsidRDefault="00612667" w:rsidP="00612667">
      <w:r>
        <w:t>Education Framework, are:</w:t>
      </w:r>
    </w:p>
    <w:p w14:paraId="1B19725C" w14:textId="121FD9D6" w:rsidR="00612667" w:rsidRDefault="00612667" w:rsidP="00EA35B6">
      <w:pPr>
        <w:pStyle w:val="ListParagraph"/>
        <w:numPr>
          <w:ilvl w:val="0"/>
          <w:numId w:val="13"/>
        </w:numPr>
      </w:pPr>
      <w:r>
        <w:t>Learners 16</w:t>
      </w:r>
      <w:r w:rsidR="316AF327">
        <w:t xml:space="preserve"> </w:t>
      </w:r>
      <w:r>
        <w:t>- 25 years of age</w:t>
      </w:r>
    </w:p>
    <w:p w14:paraId="3A44E3FA" w14:textId="1D6EB92B" w:rsidR="00612667" w:rsidRDefault="00612667" w:rsidP="00EA35B6">
      <w:pPr>
        <w:pStyle w:val="ListParagraph"/>
        <w:numPr>
          <w:ilvl w:val="0"/>
          <w:numId w:val="13"/>
        </w:numPr>
      </w:pPr>
      <w:r>
        <w:t>Long-term unemployed</w:t>
      </w:r>
    </w:p>
    <w:p w14:paraId="7FEABC44" w14:textId="090539B2" w:rsidR="00612667" w:rsidRDefault="00612667" w:rsidP="00EA35B6">
      <w:pPr>
        <w:pStyle w:val="ListParagraph"/>
        <w:numPr>
          <w:ilvl w:val="0"/>
          <w:numId w:val="13"/>
        </w:numPr>
      </w:pPr>
      <w:r>
        <w:t>People with disabilities</w:t>
      </w:r>
    </w:p>
    <w:p w14:paraId="6B4583B9" w14:textId="75D2FBAA" w:rsidR="00612667" w:rsidRDefault="00612667" w:rsidP="00EA35B6">
      <w:pPr>
        <w:pStyle w:val="ListParagraph"/>
        <w:numPr>
          <w:ilvl w:val="0"/>
          <w:numId w:val="13"/>
        </w:numPr>
      </w:pPr>
      <w:r>
        <w:t>Migrants and refugees</w:t>
      </w:r>
    </w:p>
    <w:p w14:paraId="64DB3655" w14:textId="2343499C" w:rsidR="00612667" w:rsidRDefault="00612667" w:rsidP="00612667">
      <w:r>
        <w:t>Other priority groups:</w:t>
      </w:r>
    </w:p>
    <w:p w14:paraId="48C04AE6" w14:textId="27A4EC76" w:rsidR="00612667" w:rsidRDefault="00612667" w:rsidP="00EA35B6">
      <w:pPr>
        <w:pStyle w:val="ListParagraph"/>
        <w:numPr>
          <w:ilvl w:val="0"/>
          <w:numId w:val="13"/>
        </w:numPr>
      </w:pPr>
      <w:r>
        <w:t>Early school leavers</w:t>
      </w:r>
    </w:p>
    <w:p w14:paraId="1406223D" w14:textId="3EAC9368" w:rsidR="00612667" w:rsidRDefault="00612667" w:rsidP="00EA35B6">
      <w:pPr>
        <w:pStyle w:val="ListParagraph"/>
        <w:numPr>
          <w:ilvl w:val="0"/>
          <w:numId w:val="13"/>
        </w:numPr>
      </w:pPr>
      <w:r>
        <w:t>Members of the Traveller and Roma communities</w:t>
      </w:r>
    </w:p>
    <w:p w14:paraId="4A5C38FB" w14:textId="69534544" w:rsidR="00612667" w:rsidRDefault="00612667" w:rsidP="00EA35B6">
      <w:pPr>
        <w:pStyle w:val="ListParagraph"/>
        <w:numPr>
          <w:ilvl w:val="0"/>
          <w:numId w:val="13"/>
        </w:numPr>
      </w:pPr>
      <w:r>
        <w:t>Women wishing to return to the labour market</w:t>
      </w:r>
    </w:p>
    <w:p w14:paraId="4F02BF36" w14:textId="7FA8835C" w:rsidR="00612667" w:rsidRDefault="00612667" w:rsidP="00EA35B6">
      <w:pPr>
        <w:pStyle w:val="ListParagraph"/>
        <w:numPr>
          <w:ilvl w:val="0"/>
          <w:numId w:val="13"/>
        </w:numPr>
      </w:pPr>
      <w:r>
        <w:t>Lone parents</w:t>
      </w:r>
    </w:p>
    <w:p w14:paraId="376E6624" w14:textId="6BD6DB77" w:rsidR="00612667" w:rsidRDefault="00612667" w:rsidP="00EA35B6">
      <w:pPr>
        <w:pStyle w:val="ListParagraph"/>
        <w:numPr>
          <w:ilvl w:val="0"/>
          <w:numId w:val="13"/>
        </w:numPr>
      </w:pPr>
      <w:r>
        <w:t>People who are educationally, economically or socially disadvantaged</w:t>
      </w:r>
    </w:p>
    <w:p w14:paraId="21513FA8" w14:textId="36B2113A" w:rsidR="00612667" w:rsidRDefault="00612667" w:rsidP="00EA35B6">
      <w:pPr>
        <w:pStyle w:val="ListParagraph"/>
        <w:numPr>
          <w:ilvl w:val="0"/>
          <w:numId w:val="13"/>
        </w:numPr>
      </w:pPr>
      <w:r>
        <w:t>People impacted by mental health issues or addiction</w:t>
      </w:r>
    </w:p>
    <w:p w14:paraId="4503DBEF" w14:textId="0BE3F7BE" w:rsidR="00612667" w:rsidRDefault="00612667" w:rsidP="00EA35B6">
      <w:pPr>
        <w:pStyle w:val="ListParagraph"/>
        <w:numPr>
          <w:ilvl w:val="0"/>
          <w:numId w:val="13"/>
        </w:numPr>
      </w:pPr>
      <w:r>
        <w:lastRenderedPageBreak/>
        <w:t>Women’s groups and men’s groups</w:t>
      </w:r>
    </w:p>
    <w:p w14:paraId="401939BD" w14:textId="53FEB76E" w:rsidR="00612667" w:rsidRDefault="00612667" w:rsidP="00EA35B6">
      <w:pPr>
        <w:pStyle w:val="ListParagraph"/>
        <w:numPr>
          <w:ilvl w:val="0"/>
          <w:numId w:val="13"/>
        </w:numPr>
      </w:pPr>
      <w:r>
        <w:t>People impacted by homelessness</w:t>
      </w:r>
    </w:p>
    <w:p w14:paraId="22C8E04D" w14:textId="74CD53B7" w:rsidR="00612667" w:rsidRDefault="00612667" w:rsidP="00EA35B6">
      <w:pPr>
        <w:pStyle w:val="ListParagraph"/>
        <w:numPr>
          <w:ilvl w:val="0"/>
          <w:numId w:val="13"/>
        </w:numPr>
      </w:pPr>
      <w:r>
        <w:t>Carers</w:t>
      </w:r>
    </w:p>
    <w:p w14:paraId="0F51BF3F" w14:textId="01E34C66" w:rsidR="00612667" w:rsidRDefault="00612667" w:rsidP="00EA35B6">
      <w:pPr>
        <w:pStyle w:val="ListParagraph"/>
        <w:numPr>
          <w:ilvl w:val="0"/>
          <w:numId w:val="13"/>
        </w:numPr>
      </w:pPr>
      <w:r>
        <w:t>LGBTQIA</w:t>
      </w:r>
    </w:p>
    <w:p w14:paraId="6E98C4AF" w14:textId="764E618F" w:rsidR="00EA35B6" w:rsidRDefault="00612667" w:rsidP="00EA35B6">
      <w:pPr>
        <w:pStyle w:val="ListParagraph"/>
        <w:numPr>
          <w:ilvl w:val="0"/>
          <w:numId w:val="13"/>
        </w:numPr>
      </w:pPr>
      <w:r>
        <w:t>Older people</w:t>
      </w:r>
    </w:p>
    <w:p w14:paraId="2F8091FD" w14:textId="77777777" w:rsidR="00EA35B6" w:rsidRDefault="00EA35B6" w:rsidP="00EA35B6">
      <w:pPr>
        <w:pStyle w:val="ListParagraph"/>
      </w:pPr>
    </w:p>
    <w:p w14:paraId="3D0EBF53" w14:textId="06A496E9" w:rsidR="00FF4729" w:rsidRPr="00FE5B7B" w:rsidRDefault="00FF4729" w:rsidP="00FF4729">
      <w:pPr>
        <w:pStyle w:val="ListParagraph"/>
        <w:numPr>
          <w:ilvl w:val="0"/>
          <w:numId w:val="8"/>
        </w:numPr>
        <w:rPr>
          <w:b/>
          <w:bCs/>
          <w:u w:val="single"/>
        </w:rPr>
      </w:pPr>
      <w:r w:rsidRPr="00FE5B7B">
        <w:rPr>
          <w:b/>
          <w:bCs/>
          <w:u w:val="single"/>
        </w:rPr>
        <w:t>Learner Support</w:t>
      </w:r>
    </w:p>
    <w:p w14:paraId="371A8E62" w14:textId="3FB97E5E" w:rsidR="00FF4729" w:rsidRDefault="00FF4729" w:rsidP="00FF4729">
      <w:r>
        <w:t xml:space="preserve"> Projects that will support learners to engage/participate in community based educational programmes, mentoring projects, transport costs for learners, urgent educational response.</w:t>
      </w:r>
    </w:p>
    <w:p w14:paraId="2387CE5B" w14:textId="1DBD7A7C" w:rsidR="22B56B0D" w:rsidRDefault="22B56B0D" w:rsidP="22B56B0D"/>
    <w:p w14:paraId="10F12E26" w14:textId="37BD4FA8" w:rsidR="00FF4729" w:rsidRPr="00FE5B7B" w:rsidRDefault="00FF4729" w:rsidP="00FF4729">
      <w:pPr>
        <w:pStyle w:val="ListParagraph"/>
        <w:numPr>
          <w:ilvl w:val="0"/>
          <w:numId w:val="8"/>
        </w:numPr>
        <w:rPr>
          <w:b/>
          <w:bCs/>
          <w:u w:val="single"/>
        </w:rPr>
      </w:pPr>
      <w:r w:rsidRPr="00FE5B7B">
        <w:rPr>
          <w:b/>
          <w:bCs/>
          <w:u w:val="single"/>
        </w:rPr>
        <w:t xml:space="preserve">Climate &amp; </w:t>
      </w:r>
      <w:r w:rsidR="00EA35B6" w:rsidRPr="00FE5B7B">
        <w:rPr>
          <w:b/>
          <w:bCs/>
          <w:u w:val="single"/>
        </w:rPr>
        <w:t>S</w:t>
      </w:r>
      <w:r w:rsidRPr="00FE5B7B">
        <w:rPr>
          <w:b/>
          <w:bCs/>
          <w:u w:val="single"/>
        </w:rPr>
        <w:t>ustainabilit</w:t>
      </w:r>
      <w:r w:rsidR="435C4ED5" w:rsidRPr="00FE5B7B">
        <w:rPr>
          <w:b/>
          <w:bCs/>
          <w:u w:val="single"/>
        </w:rPr>
        <w:t>y</w:t>
      </w:r>
    </w:p>
    <w:p w14:paraId="5863C368" w14:textId="6F5507F0" w:rsidR="00FF4729" w:rsidRDefault="00FF4729" w:rsidP="00FF4729">
      <w:r>
        <w:t xml:space="preserve">Projects that address topics such as climate justice education, education for sustainable development </w:t>
      </w:r>
      <w:r w:rsidR="00A54CE8">
        <w:t>or</w:t>
      </w:r>
      <w:r>
        <w:t xml:space="preserve"> building climate literacy.</w:t>
      </w:r>
    </w:p>
    <w:p w14:paraId="06741051" w14:textId="77777777" w:rsidR="00FF4729" w:rsidRPr="00EA35B6" w:rsidRDefault="00FF4729" w:rsidP="00FF4729">
      <w:pPr>
        <w:rPr>
          <w:u w:val="single"/>
        </w:rPr>
      </w:pPr>
    </w:p>
    <w:p w14:paraId="2891A324" w14:textId="72639021" w:rsidR="00FF4729" w:rsidRPr="00FE5B7B" w:rsidRDefault="00FF4729" w:rsidP="00FF4729">
      <w:pPr>
        <w:pStyle w:val="ListParagraph"/>
        <w:numPr>
          <w:ilvl w:val="0"/>
          <w:numId w:val="8"/>
        </w:numPr>
        <w:rPr>
          <w:b/>
          <w:bCs/>
          <w:u w:val="single"/>
        </w:rPr>
      </w:pPr>
      <w:r w:rsidRPr="00FE5B7B">
        <w:rPr>
          <w:b/>
          <w:bCs/>
          <w:u w:val="single"/>
        </w:rPr>
        <w:t>Outreach / Pre-Development</w:t>
      </w:r>
    </w:p>
    <w:p w14:paraId="518F2C3C" w14:textId="3E9300C7" w:rsidR="00FC6E22" w:rsidRDefault="00FF4729" w:rsidP="00FF4729">
      <w:r>
        <w:t>Projects engaged in education outreach and pre-development work to support the most marginalised and disadvantaged groups.</w:t>
      </w:r>
    </w:p>
    <w:p w14:paraId="329B906B" w14:textId="0012C556" w:rsidR="00FF4729" w:rsidRDefault="00FF4729">
      <w:pPr>
        <w:rPr>
          <w:sz w:val="32"/>
          <w:szCs w:val="32"/>
        </w:rPr>
      </w:pPr>
      <w:r w:rsidRPr="22B56B0D">
        <w:rPr>
          <w:sz w:val="32"/>
          <w:szCs w:val="32"/>
        </w:rPr>
        <w:br w:type="page"/>
      </w:r>
    </w:p>
    <w:p w14:paraId="7262DE20" w14:textId="5DAC35DF" w:rsidR="00FC6E22" w:rsidRPr="001F640A" w:rsidRDefault="00FC6E22" w:rsidP="00FC6E22">
      <w:pPr>
        <w:rPr>
          <w:sz w:val="32"/>
          <w:szCs w:val="32"/>
        </w:rPr>
      </w:pPr>
      <w:r w:rsidRPr="001F640A">
        <w:rPr>
          <w:sz w:val="32"/>
          <w:szCs w:val="32"/>
        </w:rPr>
        <w:lastRenderedPageBreak/>
        <w:t>Section 3</w:t>
      </w:r>
      <w:r w:rsidR="00FF4729">
        <w:rPr>
          <w:sz w:val="32"/>
          <w:szCs w:val="32"/>
        </w:rPr>
        <w:t xml:space="preserve">: </w:t>
      </w:r>
      <w:r w:rsidRPr="001F640A">
        <w:rPr>
          <w:sz w:val="32"/>
          <w:szCs w:val="32"/>
        </w:rPr>
        <w:t>Funding Terms and Conditions</w:t>
      </w:r>
    </w:p>
    <w:p w14:paraId="6D3E4214" w14:textId="77777777" w:rsidR="001F640A" w:rsidRDefault="001F640A" w:rsidP="00FC6E22"/>
    <w:p w14:paraId="55F076FF" w14:textId="2BD6DF38" w:rsidR="00FC6E22" w:rsidRPr="00FF4729" w:rsidRDefault="00FC6E22" w:rsidP="00FC6E22">
      <w:pPr>
        <w:rPr>
          <w:b/>
          <w:bCs/>
        </w:rPr>
      </w:pPr>
      <w:r w:rsidRPr="00FF4729">
        <w:rPr>
          <w:b/>
          <w:bCs/>
        </w:rPr>
        <w:t>3.1</w:t>
      </w:r>
      <w:r w:rsidRPr="00FF4729">
        <w:rPr>
          <w:b/>
          <w:bCs/>
        </w:rPr>
        <w:tab/>
        <w:t>Funding Terms and Conditions</w:t>
      </w:r>
    </w:p>
    <w:p w14:paraId="0511FAC5" w14:textId="2749A16D" w:rsidR="00FC6E22" w:rsidRDefault="001F640A" w:rsidP="00FC6E22">
      <w:r>
        <w:t>If successful,</w:t>
      </w:r>
      <w:r w:rsidR="00FC6E22">
        <w:t xml:space="preserve"> the Reach Fund 202</w:t>
      </w:r>
      <w:r w:rsidR="00A54CE8">
        <w:t>6</w:t>
      </w:r>
      <w:r w:rsidR="00FC6E22">
        <w:t xml:space="preserve"> grant must:</w:t>
      </w:r>
    </w:p>
    <w:p w14:paraId="021AB2BC" w14:textId="77777777" w:rsidR="00FC6E22" w:rsidRDefault="00FC6E22" w:rsidP="00FC6E22">
      <w:r>
        <w:t>1.</w:t>
      </w:r>
      <w:r>
        <w:tab/>
        <w:t>Be used for the specific purpose intended, as per application and approval.</w:t>
      </w:r>
    </w:p>
    <w:p w14:paraId="5547953C" w14:textId="39A9B94A" w:rsidR="00FC6E22" w:rsidRDefault="00FC6E22" w:rsidP="001F640A">
      <w:pPr>
        <w:ind w:left="720" w:hanging="720"/>
      </w:pPr>
      <w:r>
        <w:t>2.</w:t>
      </w:r>
      <w:r>
        <w:tab/>
        <w:t xml:space="preserve">Be fully spent by </w:t>
      </w:r>
      <w:r w:rsidR="51B15BC0">
        <w:t>year end</w:t>
      </w:r>
      <w:r>
        <w:t xml:space="preserve"> 202</w:t>
      </w:r>
      <w:r w:rsidR="00A54CE8">
        <w:t>6</w:t>
      </w:r>
      <w:r>
        <w:t>. Unspent funding cannot be carried forward to 202</w:t>
      </w:r>
      <w:r w:rsidR="00A54CE8">
        <w:t>7</w:t>
      </w:r>
      <w:r w:rsidR="001F640A">
        <w:t xml:space="preserve"> and must be returned</w:t>
      </w:r>
      <w:r>
        <w:t>.</w:t>
      </w:r>
    </w:p>
    <w:p w14:paraId="36350ED1" w14:textId="77777777" w:rsidR="00FC6E22" w:rsidRDefault="00FC6E22" w:rsidP="00FC6E22">
      <w:r>
        <w:t>3.</w:t>
      </w:r>
      <w:r>
        <w:tab/>
        <w:t>Not be used for:</w:t>
      </w:r>
    </w:p>
    <w:p w14:paraId="603294CC" w14:textId="36076932" w:rsidR="001F640A" w:rsidRDefault="001F640A" w:rsidP="001F640A">
      <w:pPr>
        <w:pStyle w:val="ListParagraph"/>
        <w:numPr>
          <w:ilvl w:val="0"/>
          <w:numId w:val="7"/>
        </w:numPr>
      </w:pPr>
      <w:r>
        <w:t>Cost of a recurring nature</w:t>
      </w:r>
    </w:p>
    <w:p w14:paraId="0F83466E" w14:textId="42B9749D" w:rsidR="001F640A" w:rsidRDefault="001F640A" w:rsidP="001F640A">
      <w:pPr>
        <w:pStyle w:val="ListParagraph"/>
        <w:numPr>
          <w:ilvl w:val="0"/>
          <w:numId w:val="7"/>
        </w:numPr>
      </w:pPr>
      <w:r>
        <w:t>Capital items (</w:t>
      </w:r>
      <w:r w:rsidRPr="007D61BD">
        <w:t>the cost of any item exceeding €1,000 excluding VAT</w:t>
      </w:r>
      <w:r>
        <w:t>)</w:t>
      </w:r>
    </w:p>
    <w:p w14:paraId="3A31A827" w14:textId="229AFB50" w:rsidR="001F640A" w:rsidRDefault="001F640A" w:rsidP="001F640A">
      <w:pPr>
        <w:pStyle w:val="ListParagraph"/>
        <w:numPr>
          <w:ilvl w:val="0"/>
          <w:numId w:val="7"/>
        </w:numPr>
      </w:pPr>
      <w:r>
        <w:t>Vouchers for Learners</w:t>
      </w:r>
    </w:p>
    <w:p w14:paraId="1E0CB0DE" w14:textId="1E5736E1" w:rsidR="001F640A" w:rsidRDefault="001F640A" w:rsidP="001F640A">
      <w:pPr>
        <w:pStyle w:val="ListParagraph"/>
        <w:numPr>
          <w:ilvl w:val="0"/>
          <w:numId w:val="7"/>
        </w:numPr>
      </w:pPr>
      <w:r>
        <w:t>Programme Validation Costs</w:t>
      </w:r>
    </w:p>
    <w:p w14:paraId="7DE77A7E" w14:textId="77777777" w:rsidR="00FC6E22" w:rsidRDefault="00FC6E22" w:rsidP="00FC6E22"/>
    <w:p w14:paraId="34532A3C" w14:textId="1C67EA7A" w:rsidR="00FC6E22" w:rsidRDefault="001F640A" w:rsidP="00FC6E22">
      <w:r>
        <w:t>Applicant</w:t>
      </w:r>
      <w:r w:rsidR="00FC6E22">
        <w:t xml:space="preserve"> organisation</w:t>
      </w:r>
      <w:r>
        <w:t>s</w:t>
      </w:r>
      <w:r w:rsidR="00FC6E22">
        <w:t xml:space="preserve"> must:</w:t>
      </w:r>
    </w:p>
    <w:p w14:paraId="024F0840" w14:textId="2FDBBF76" w:rsidR="00FC6E22" w:rsidRDefault="00FC6E22" w:rsidP="001F640A">
      <w:pPr>
        <w:ind w:left="720" w:hanging="720"/>
      </w:pPr>
      <w:r>
        <w:t>4.</w:t>
      </w:r>
      <w:r>
        <w:tab/>
        <w:t>Be tax compliant and provide a Tax Clearance Access Number (TCAN) along with the Tax Reference Number and Charity Number (CHY) (if applicable) on th</w:t>
      </w:r>
      <w:r w:rsidR="001F640A">
        <w:t>e</w:t>
      </w:r>
      <w:r>
        <w:t xml:space="preserve"> application form.</w:t>
      </w:r>
    </w:p>
    <w:p w14:paraId="2CFC3F04" w14:textId="2C451B5B" w:rsidR="00FC6E22" w:rsidRDefault="00FC6E22" w:rsidP="00FC6E22">
      <w:r>
        <w:t>5.</w:t>
      </w:r>
      <w:r>
        <w:tab/>
        <w:t>Comply with purchasing/procurement rules</w:t>
      </w:r>
      <w:r w:rsidR="001F640A">
        <w:t xml:space="preserve"> - </w:t>
      </w:r>
      <w:r>
        <w:t>see Appendix 1</w:t>
      </w:r>
    </w:p>
    <w:p w14:paraId="640A4608" w14:textId="080A2BF6" w:rsidR="00FC6E22" w:rsidRDefault="00FC6E22" w:rsidP="001F640A">
      <w:pPr>
        <w:ind w:left="720" w:hanging="720"/>
      </w:pPr>
      <w:r>
        <w:t>6.</w:t>
      </w:r>
      <w:r>
        <w:tab/>
      </w:r>
      <w:r w:rsidR="001F640A">
        <w:t>Provide c</w:t>
      </w:r>
      <w:r>
        <w:t xml:space="preserve">opies of quotations </w:t>
      </w:r>
      <w:r w:rsidR="001F640A">
        <w:t xml:space="preserve">for orders over €1,000 excluding </w:t>
      </w:r>
      <w:proofErr w:type="gramStart"/>
      <w:r w:rsidR="001F640A">
        <w:t>VAT</w:t>
      </w:r>
      <w:r>
        <w:t xml:space="preserve"> </w:t>
      </w:r>
      <w:r w:rsidR="00A043D5">
        <w:t xml:space="preserve"> </w:t>
      </w:r>
      <w:r>
        <w:t>–</w:t>
      </w:r>
      <w:proofErr w:type="gramEnd"/>
      <w:r>
        <w:t xml:space="preserve"> see Appendix 1</w:t>
      </w:r>
    </w:p>
    <w:p w14:paraId="792D9FFB" w14:textId="23CFB820" w:rsidR="00FC6E22" w:rsidRDefault="00FC6E22" w:rsidP="00FC6E22">
      <w:r>
        <w:t>7.</w:t>
      </w:r>
      <w:r>
        <w:tab/>
        <w:t>Submit a copy of your 202</w:t>
      </w:r>
      <w:r w:rsidR="00A54CE8">
        <w:t>4</w:t>
      </w:r>
      <w:r>
        <w:t xml:space="preserve"> signed audited accounts with your application.</w:t>
      </w:r>
    </w:p>
    <w:p w14:paraId="665F62C8" w14:textId="2F3AC487" w:rsidR="00FC6E22" w:rsidRDefault="00FC6E22" w:rsidP="00FC6E22">
      <w:r>
        <w:t>8.</w:t>
      </w:r>
      <w:r>
        <w:tab/>
        <w:t>Submit a copy of your 202</w:t>
      </w:r>
      <w:r w:rsidR="00A54CE8">
        <w:t>5</w:t>
      </w:r>
      <w:r>
        <w:t xml:space="preserve"> signed audited accounts by 30th June 202</w:t>
      </w:r>
      <w:r w:rsidR="00A54CE8">
        <w:t>6</w:t>
      </w:r>
      <w:r>
        <w:t>.</w:t>
      </w:r>
    </w:p>
    <w:p w14:paraId="745D8392" w14:textId="1222A1DD" w:rsidR="00FC6E22" w:rsidRDefault="00FC6E22" w:rsidP="001F640A">
      <w:pPr>
        <w:ind w:left="720" w:hanging="720"/>
      </w:pPr>
      <w:r>
        <w:t>9.</w:t>
      </w:r>
      <w:r>
        <w:tab/>
        <w:t xml:space="preserve">Return any unspent monies as of the </w:t>
      </w:r>
      <w:proofErr w:type="gramStart"/>
      <w:r>
        <w:t>3</w:t>
      </w:r>
      <w:r w:rsidR="00790F5E">
        <w:t>1</w:t>
      </w:r>
      <w:r w:rsidR="00790F5E" w:rsidRPr="00790F5E">
        <w:rPr>
          <w:vertAlign w:val="superscript"/>
        </w:rPr>
        <w:t>st</w:t>
      </w:r>
      <w:proofErr w:type="gramEnd"/>
      <w:r w:rsidR="00790F5E">
        <w:t xml:space="preserve"> December </w:t>
      </w:r>
      <w:r>
        <w:t>202</w:t>
      </w:r>
      <w:r w:rsidR="00A54CE8">
        <w:t>6</w:t>
      </w:r>
      <w:r>
        <w:t xml:space="preserve"> to City of Dublin ETB</w:t>
      </w:r>
      <w:r w:rsidR="001F640A">
        <w:t xml:space="preserve"> promptly</w:t>
      </w:r>
      <w:r>
        <w:t>.</w:t>
      </w:r>
    </w:p>
    <w:p w14:paraId="1DFC26C6" w14:textId="7AC30387" w:rsidR="00790F5E" w:rsidRDefault="00FC6E22" w:rsidP="002A6A3E">
      <w:pPr>
        <w:ind w:left="720" w:hanging="720"/>
      </w:pPr>
      <w:r>
        <w:t>10.</w:t>
      </w:r>
      <w:r>
        <w:tab/>
        <w:t>Submit a signed Income and Expenditure spreadsheet to include invoices</w:t>
      </w:r>
      <w:r w:rsidR="003A4D77">
        <w:t xml:space="preserve"> and </w:t>
      </w:r>
      <w:r>
        <w:t>receipts to City of Dublin ETB at info@aes.cdetb.ie before</w:t>
      </w:r>
      <w:r w:rsidR="001F640A">
        <w:t xml:space="preserve"> Friday</w:t>
      </w:r>
      <w:r>
        <w:t xml:space="preserve"> 1</w:t>
      </w:r>
      <w:r w:rsidR="00A54CE8">
        <w:t>5</w:t>
      </w:r>
      <w:r>
        <w:t xml:space="preserve">th </w:t>
      </w:r>
      <w:r w:rsidR="00790F5E">
        <w:t>January</w:t>
      </w:r>
      <w:r>
        <w:t xml:space="preserve"> 202</w:t>
      </w:r>
      <w:r w:rsidR="00A54CE8">
        <w:t>7</w:t>
      </w:r>
      <w:r>
        <w:t>.</w:t>
      </w:r>
      <w:r w:rsidR="001F640A">
        <w:t xml:space="preserve"> </w:t>
      </w:r>
      <w:r w:rsidR="00911B78">
        <w:t xml:space="preserve">Where the project includes staff pay, </w:t>
      </w:r>
      <w:r w:rsidR="00C06BAD" w:rsidRPr="00C06BAD">
        <w:t>copies of contracts of employment</w:t>
      </w:r>
      <w:r w:rsidR="00911B78">
        <w:t xml:space="preserve"> and evidence of</w:t>
      </w:r>
      <w:r w:rsidR="00C06BAD" w:rsidRPr="00C06BAD">
        <w:t xml:space="preserve"> Revenue and Employment compliance</w:t>
      </w:r>
      <w:r w:rsidR="00911B78">
        <w:t xml:space="preserve"> will be required.</w:t>
      </w:r>
    </w:p>
    <w:p w14:paraId="4AD190C1" w14:textId="29F5EDF7" w:rsidR="44761120" w:rsidRDefault="44761120">
      <w:r>
        <w:br w:type="page"/>
      </w:r>
    </w:p>
    <w:p w14:paraId="7146D045" w14:textId="490BD5FB" w:rsidR="00FC6E22" w:rsidRDefault="00FC6E22" w:rsidP="44761120">
      <w:pPr>
        <w:rPr>
          <w:b/>
          <w:bCs/>
        </w:rPr>
      </w:pPr>
      <w:r w:rsidRPr="44761120">
        <w:rPr>
          <w:b/>
          <w:bCs/>
        </w:rPr>
        <w:lastRenderedPageBreak/>
        <w:t>Other Terms and Conditions</w:t>
      </w:r>
    </w:p>
    <w:p w14:paraId="44B0ECD0" w14:textId="6CE9F4AC" w:rsidR="00FC6E22" w:rsidRDefault="00FC6E22" w:rsidP="00EA35B6">
      <w:pPr>
        <w:pStyle w:val="ListParagraph"/>
        <w:numPr>
          <w:ilvl w:val="0"/>
          <w:numId w:val="16"/>
        </w:numPr>
      </w:pPr>
      <w:r>
        <w:t>If introducing an ICT Equipment Loan Scheme, you are required to have a tracking policy and assets register in place for audit purposes. Please see Appendix 2 for a sample template.</w:t>
      </w:r>
    </w:p>
    <w:p w14:paraId="14BED7C9" w14:textId="77777777" w:rsidR="00EA35B6" w:rsidRDefault="00EA35B6" w:rsidP="00EA35B6">
      <w:pPr>
        <w:pStyle w:val="ListParagraph"/>
        <w:ind w:left="1080"/>
      </w:pPr>
    </w:p>
    <w:p w14:paraId="1E8440D8" w14:textId="1E91FBE0" w:rsidR="00FC6E22" w:rsidRDefault="00FC6E22" w:rsidP="00EA35B6">
      <w:pPr>
        <w:pStyle w:val="ListParagraph"/>
        <w:numPr>
          <w:ilvl w:val="0"/>
          <w:numId w:val="16"/>
        </w:numPr>
      </w:pPr>
      <w:r>
        <w:t>If you are purchasing Leap Cards, you need a register of recipients for audit purposes. Please email Appendix 3 for a sample template.</w:t>
      </w:r>
    </w:p>
    <w:p w14:paraId="52B8728A" w14:textId="77777777" w:rsidR="00FC6E22" w:rsidRDefault="00FC6E22" w:rsidP="00FC6E22">
      <w:r>
        <w:t> </w:t>
      </w:r>
    </w:p>
    <w:p w14:paraId="090EEA55" w14:textId="77777777" w:rsidR="00FC6E22" w:rsidRPr="00FF4729" w:rsidRDefault="00FC6E22" w:rsidP="00FC6E22">
      <w:pPr>
        <w:rPr>
          <w:b/>
          <w:bCs/>
        </w:rPr>
      </w:pPr>
      <w:r w:rsidRPr="00FF4729">
        <w:rPr>
          <w:b/>
          <w:bCs/>
        </w:rPr>
        <w:t>3.2</w:t>
      </w:r>
      <w:r w:rsidRPr="00FF4729">
        <w:rPr>
          <w:b/>
          <w:bCs/>
        </w:rPr>
        <w:tab/>
        <w:t>Capital Threshold</w:t>
      </w:r>
    </w:p>
    <w:p w14:paraId="1C407C53" w14:textId="013F81BA" w:rsidR="00FC6E22" w:rsidRDefault="00FC6E22" w:rsidP="00790F5E">
      <w:r>
        <w:t>Capital items are not allowable under the Reach Fund. The cost of any one item cannot exceed €</w:t>
      </w:r>
      <w:r w:rsidR="00790F5E">
        <w:t>1,0</w:t>
      </w:r>
      <w:r>
        <w:t>00 excl. VAT</w:t>
      </w:r>
      <w:r w:rsidR="00790F5E">
        <w:t>.</w:t>
      </w:r>
    </w:p>
    <w:p w14:paraId="70EE2D87" w14:textId="77777777" w:rsidR="00FC6E22" w:rsidRDefault="00FC6E22" w:rsidP="00FC6E22">
      <w:r>
        <w:t>Accounting standards state that all costs attributable to bringing an asset into use determine the value of the asset.</w:t>
      </w:r>
    </w:p>
    <w:p w14:paraId="786D3A7E" w14:textId="2FEEE766" w:rsidR="00FC6E22" w:rsidRDefault="00FC6E22" w:rsidP="00790F5E">
      <w:r>
        <w:t>For example: If you purchase an</w:t>
      </w:r>
      <w:r w:rsidR="00790F5E">
        <w:t xml:space="preserve"> item</w:t>
      </w:r>
      <w:r>
        <w:t xml:space="preserve"> at a cost of €</w:t>
      </w:r>
      <w:r w:rsidR="00790F5E">
        <w:t>90</w:t>
      </w:r>
      <w:r>
        <w:t>0 and the accessories plus installation are an additional €</w:t>
      </w:r>
      <w:r w:rsidR="00790F5E">
        <w:t>150</w:t>
      </w:r>
      <w:r>
        <w:t>, this item is considered capital. The total cost of bringing this item into use is</w:t>
      </w:r>
      <w:r w:rsidR="00790F5E">
        <w:t xml:space="preserve"> </w:t>
      </w:r>
      <w:r>
        <w:t>€</w:t>
      </w:r>
      <w:r w:rsidR="00790F5E">
        <w:t>1,05</w:t>
      </w:r>
      <w:r>
        <w:t>0 before VAT. It is therefore not eligible under the Reach Fund.</w:t>
      </w:r>
    </w:p>
    <w:p w14:paraId="1169EBE3" w14:textId="77777777" w:rsidR="00FC6E22" w:rsidRDefault="00FC6E22" w:rsidP="00FC6E22"/>
    <w:p w14:paraId="1EF8E1D8" w14:textId="77777777" w:rsidR="00FC6E22" w:rsidRPr="00FF4729" w:rsidRDefault="00FC6E22" w:rsidP="00FC6E22">
      <w:pPr>
        <w:rPr>
          <w:b/>
          <w:bCs/>
        </w:rPr>
      </w:pPr>
      <w:r w:rsidRPr="00FF4729">
        <w:rPr>
          <w:b/>
          <w:bCs/>
        </w:rPr>
        <w:t>3.3</w:t>
      </w:r>
      <w:r w:rsidRPr="00FF4729">
        <w:rPr>
          <w:b/>
          <w:bCs/>
        </w:rPr>
        <w:tab/>
        <w:t>Services</w:t>
      </w:r>
    </w:p>
    <w:p w14:paraId="4CFCE379" w14:textId="77777777" w:rsidR="00FC6E22" w:rsidRDefault="00FC6E22" w:rsidP="00FC6E22">
      <w:r>
        <w:t>Services do not come under capital threshold. All centres, if applying for a service, must abide by the purchasing/procurement guidelines.</w:t>
      </w:r>
    </w:p>
    <w:p w14:paraId="1CAF8827" w14:textId="77777777" w:rsidR="00FC6E22" w:rsidRDefault="00FC6E22" w:rsidP="00FC6E22">
      <w:r>
        <w:t xml:space="preserve"> </w:t>
      </w:r>
    </w:p>
    <w:p w14:paraId="7D330021" w14:textId="77777777" w:rsidR="00790F5E" w:rsidRDefault="00790F5E">
      <w:r>
        <w:br w:type="page"/>
      </w:r>
    </w:p>
    <w:p w14:paraId="150708ED" w14:textId="7B300B6B" w:rsidR="00FC6E22" w:rsidRPr="00790F5E" w:rsidRDefault="00FC6E22" w:rsidP="00FC6E22">
      <w:pPr>
        <w:rPr>
          <w:sz w:val="32"/>
          <w:szCs w:val="32"/>
        </w:rPr>
      </w:pPr>
      <w:r w:rsidRPr="00790F5E">
        <w:rPr>
          <w:sz w:val="32"/>
          <w:szCs w:val="32"/>
        </w:rPr>
        <w:lastRenderedPageBreak/>
        <w:t>Section 4: Support with your Application</w:t>
      </w:r>
    </w:p>
    <w:p w14:paraId="0AACCC02" w14:textId="77777777" w:rsidR="00790F5E" w:rsidRDefault="00790F5E" w:rsidP="00FC6E22"/>
    <w:p w14:paraId="49EE2DE2" w14:textId="1F07D616" w:rsidR="00FC6E22" w:rsidRPr="00790F5E" w:rsidRDefault="00FC6E22" w:rsidP="00FC6E22">
      <w:pPr>
        <w:rPr>
          <w:b/>
          <w:bCs/>
        </w:rPr>
      </w:pPr>
      <w:r w:rsidRPr="00790F5E">
        <w:rPr>
          <w:b/>
          <w:bCs/>
        </w:rPr>
        <w:t>Live Online Information Sessions</w:t>
      </w:r>
    </w:p>
    <w:p w14:paraId="5163235F" w14:textId="77777777" w:rsidR="00FC6E22" w:rsidRDefault="00FC6E22" w:rsidP="00FC6E22">
      <w:r>
        <w:t>Applicants are strongly encouraged to attend a live online information session for support on the Reach Fund Guidelines. The following zoom information session dates are available:</w:t>
      </w:r>
    </w:p>
    <w:p w14:paraId="31B19729" w14:textId="486676D6" w:rsidR="00FC6E22" w:rsidRDefault="00FC6E22" w:rsidP="00230D9E">
      <w:pPr>
        <w:pStyle w:val="ListParagraph"/>
        <w:spacing w:after="0" w:line="240" w:lineRule="auto"/>
        <w:ind w:left="284"/>
        <w:rPr>
          <w:highlight w:val="yellow"/>
        </w:rPr>
      </w:pPr>
      <w:r>
        <w:t>1.</w:t>
      </w:r>
      <w:r>
        <w:tab/>
      </w:r>
      <w:r w:rsidR="00A54CE8">
        <w:t>Monday 12</w:t>
      </w:r>
      <w:r w:rsidR="00A54CE8" w:rsidRPr="19AA65A7">
        <w:rPr>
          <w:vertAlign w:val="superscript"/>
        </w:rPr>
        <w:t>th</w:t>
      </w:r>
      <w:r w:rsidR="00A54CE8">
        <w:t xml:space="preserve"> January </w:t>
      </w:r>
      <w:r w:rsidR="009E02FE">
        <w:t>at 10:00</w:t>
      </w:r>
      <w:r w:rsidR="6EF4D2D8">
        <w:t xml:space="preserve">:  </w:t>
      </w:r>
      <w:hyperlink r:id="rId14">
        <w:r w:rsidR="76E80676" w:rsidRPr="19AA65A7">
          <w:rPr>
            <w:rStyle w:val="Hyperlink"/>
          </w:rPr>
          <w:t>https://us06web.zoom.us/j/81232357333</w:t>
        </w:r>
      </w:hyperlink>
      <w:r w:rsidR="3342A67C">
        <w:t xml:space="preserve"> </w:t>
      </w:r>
    </w:p>
    <w:p w14:paraId="63F10950" w14:textId="7AC7DD7A" w:rsidR="19AA65A7" w:rsidRDefault="19AA65A7" w:rsidP="00230D9E">
      <w:pPr>
        <w:pStyle w:val="ListParagraph"/>
        <w:spacing w:after="0" w:line="240" w:lineRule="auto"/>
        <w:ind w:left="284"/>
      </w:pPr>
    </w:p>
    <w:p w14:paraId="2B64DAE3" w14:textId="65CE6659" w:rsidR="000D05FC" w:rsidRDefault="00247A44" w:rsidP="00230D9E">
      <w:pPr>
        <w:pStyle w:val="ListParagraph"/>
        <w:spacing w:after="0" w:line="240" w:lineRule="auto"/>
        <w:ind w:left="284"/>
      </w:pPr>
      <w:r>
        <w:t xml:space="preserve">2. </w:t>
      </w:r>
      <w:r>
        <w:tab/>
      </w:r>
      <w:r w:rsidR="00A54CE8">
        <w:t>Thursday 14</w:t>
      </w:r>
      <w:r w:rsidR="00A54CE8" w:rsidRPr="19AA65A7">
        <w:rPr>
          <w:vertAlign w:val="superscript"/>
        </w:rPr>
        <w:t>th</w:t>
      </w:r>
      <w:r w:rsidR="00A54CE8">
        <w:t xml:space="preserve"> January</w:t>
      </w:r>
      <w:r w:rsidR="000D05FC">
        <w:t xml:space="preserve"> at 14:</w:t>
      </w:r>
      <w:r w:rsidR="00A54CE8">
        <w:t>00</w:t>
      </w:r>
      <w:r w:rsidR="0D5D7640">
        <w:t xml:space="preserve">: </w:t>
      </w:r>
      <w:hyperlink r:id="rId15">
        <w:r w:rsidR="0D5D7640" w:rsidRPr="19AA65A7">
          <w:rPr>
            <w:rStyle w:val="Hyperlink"/>
          </w:rPr>
          <w:t>https://us06web.zoom.us/j/89089360625</w:t>
        </w:r>
      </w:hyperlink>
    </w:p>
    <w:p w14:paraId="6BCAB94A" w14:textId="5959D9FA" w:rsidR="000D05FC" w:rsidRDefault="000D05FC" w:rsidP="00230D9E">
      <w:pPr>
        <w:pStyle w:val="ListParagraph"/>
        <w:spacing w:after="0" w:line="240" w:lineRule="auto"/>
        <w:ind w:left="284"/>
      </w:pPr>
    </w:p>
    <w:p w14:paraId="2FB19642" w14:textId="77777777" w:rsidR="00FC6E22" w:rsidRPr="00790F5E" w:rsidRDefault="00FC6E22" w:rsidP="000D05FC">
      <w:r w:rsidRPr="00790F5E">
        <w:t xml:space="preserve"> </w:t>
      </w:r>
    </w:p>
    <w:p w14:paraId="73E80F33" w14:textId="77777777" w:rsidR="001F640A" w:rsidRDefault="001F640A">
      <w:r>
        <w:br w:type="page"/>
      </w:r>
    </w:p>
    <w:p w14:paraId="4ADE2F4D" w14:textId="5A1BB47D" w:rsidR="00FC6E22" w:rsidRPr="001F640A" w:rsidRDefault="00FC6E22" w:rsidP="00FC6E22">
      <w:pPr>
        <w:rPr>
          <w:sz w:val="32"/>
          <w:szCs w:val="32"/>
        </w:rPr>
      </w:pPr>
      <w:r w:rsidRPr="001F640A">
        <w:rPr>
          <w:sz w:val="32"/>
          <w:szCs w:val="32"/>
        </w:rPr>
        <w:lastRenderedPageBreak/>
        <w:t xml:space="preserve">Appendix 1 – Purchasing Rules &amp; Regulations </w:t>
      </w:r>
    </w:p>
    <w:p w14:paraId="48C98832" w14:textId="77777777" w:rsidR="00FC6E22" w:rsidRDefault="00FC6E22" w:rsidP="00FC6E22"/>
    <w:p w14:paraId="4A2F1A04" w14:textId="741CDC71" w:rsidR="001F640A" w:rsidRPr="008A0A78" w:rsidRDefault="001F640A" w:rsidP="001F640A">
      <w:pPr>
        <w:jc w:val="center"/>
        <w:rPr>
          <w:b/>
          <w:bCs/>
          <w:sz w:val="36"/>
          <w:szCs w:val="36"/>
        </w:rPr>
      </w:pPr>
      <w:r w:rsidRPr="1EB02A72">
        <w:rPr>
          <w:b/>
          <w:bCs/>
          <w:sz w:val="36"/>
          <w:szCs w:val="36"/>
        </w:rPr>
        <w:t xml:space="preserve">City of Dublin ETB Procurement Guidance </w:t>
      </w:r>
    </w:p>
    <w:p w14:paraId="5A59B2FC" w14:textId="67FA967A" w:rsidR="001F640A" w:rsidRPr="00D275DA" w:rsidRDefault="001F640A" w:rsidP="001F640A">
      <w:pPr>
        <w:rPr>
          <w:b/>
          <w:bCs/>
        </w:rPr>
      </w:pPr>
      <w:r>
        <w:t>The below thresholds are effective from 1</w:t>
      </w:r>
      <w:r w:rsidRPr="1EB02A72">
        <w:rPr>
          <w:vertAlign w:val="superscript"/>
        </w:rPr>
        <w:t>st</w:t>
      </w:r>
      <w:r>
        <w:t xml:space="preserve"> January 202</w:t>
      </w:r>
      <w:r w:rsidR="00A54CE8">
        <w:t>4</w:t>
      </w:r>
    </w:p>
    <w:tbl>
      <w:tblPr>
        <w:tblW w:w="9488" w:type="dxa"/>
        <w:tblLook w:val="04A0" w:firstRow="1" w:lastRow="0" w:firstColumn="1" w:lastColumn="0" w:noHBand="0" w:noVBand="1"/>
      </w:tblPr>
      <w:tblGrid>
        <w:gridCol w:w="2542"/>
        <w:gridCol w:w="6946"/>
      </w:tblGrid>
      <w:tr w:rsidR="001F640A" w:rsidRPr="0089651F" w14:paraId="3E19CED4" w14:textId="77777777" w:rsidTr="22B56B0D">
        <w:trPr>
          <w:trHeight w:val="548"/>
        </w:trPr>
        <w:tc>
          <w:tcPr>
            <w:tcW w:w="9488" w:type="dxa"/>
            <w:gridSpan w:val="2"/>
            <w:tcBorders>
              <w:top w:val="single" w:sz="8" w:space="0" w:color="auto"/>
              <w:left w:val="single" w:sz="8" w:space="0" w:color="auto"/>
              <w:bottom w:val="single" w:sz="4" w:space="0" w:color="auto"/>
              <w:right w:val="single" w:sz="8" w:space="0" w:color="auto"/>
            </w:tcBorders>
            <w:shd w:val="clear" w:color="auto" w:fill="2F05CB"/>
            <w:noWrap/>
            <w:vAlign w:val="center"/>
            <w:hideMark/>
          </w:tcPr>
          <w:p w14:paraId="3E3450D4" w14:textId="77777777" w:rsidR="001F640A" w:rsidRPr="0089651F" w:rsidRDefault="001F640A" w:rsidP="00A30640">
            <w:pPr>
              <w:spacing w:after="0" w:line="240" w:lineRule="auto"/>
              <w:jc w:val="center"/>
              <w:rPr>
                <w:rFonts w:ascii="Calibri" w:eastAsia="Times New Roman" w:hAnsi="Calibri" w:cs="Calibri"/>
                <w:b/>
                <w:bCs/>
                <w:color w:val="FFFFFF"/>
                <w:sz w:val="36"/>
                <w:szCs w:val="36"/>
                <w:lang w:eastAsia="en-IE"/>
              </w:rPr>
            </w:pPr>
            <w:r w:rsidRPr="0089651F">
              <w:rPr>
                <w:rFonts w:ascii="Calibri" w:eastAsia="Times New Roman" w:hAnsi="Calibri" w:cs="Calibri"/>
                <w:b/>
                <w:bCs/>
                <w:color w:val="FFFFFF"/>
                <w:sz w:val="36"/>
                <w:szCs w:val="36"/>
                <w:lang w:eastAsia="en-IE"/>
              </w:rPr>
              <w:t>Goods and Services</w:t>
            </w:r>
          </w:p>
          <w:p w14:paraId="780DA257"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0089651F">
              <w:rPr>
                <w:rFonts w:ascii="Calibri" w:eastAsia="Times New Roman" w:hAnsi="Calibri" w:cs="Calibri"/>
                <w:color w:val="000000"/>
                <w:lang w:eastAsia="en-IE"/>
              </w:rPr>
              <w:t> </w:t>
            </w:r>
          </w:p>
        </w:tc>
      </w:tr>
      <w:tr w:rsidR="001F640A" w:rsidRPr="0089651F" w14:paraId="4AE61452" w14:textId="77777777" w:rsidTr="22B56B0D">
        <w:trPr>
          <w:trHeight w:val="300"/>
        </w:trPr>
        <w:tc>
          <w:tcPr>
            <w:tcW w:w="2542" w:type="dxa"/>
            <w:tcBorders>
              <w:top w:val="single" w:sz="8" w:space="0" w:color="auto"/>
              <w:left w:val="single" w:sz="8" w:space="0" w:color="auto"/>
              <w:bottom w:val="single" w:sz="4" w:space="0" w:color="auto"/>
              <w:right w:val="single" w:sz="4" w:space="0" w:color="auto"/>
            </w:tcBorders>
            <w:shd w:val="clear" w:color="auto" w:fill="4472C4"/>
            <w:noWrap/>
            <w:vAlign w:val="bottom"/>
            <w:hideMark/>
          </w:tcPr>
          <w:p w14:paraId="7F207227" w14:textId="77777777" w:rsidR="001F640A" w:rsidRPr="0089651F" w:rsidRDefault="001F640A" w:rsidP="00A30640">
            <w:pPr>
              <w:spacing w:after="0" w:line="240" w:lineRule="auto"/>
              <w:jc w:val="center"/>
              <w:rPr>
                <w:rFonts w:ascii="Calibri" w:eastAsia="Times New Roman" w:hAnsi="Calibri" w:cs="Calibri"/>
                <w:b/>
                <w:bCs/>
                <w:color w:val="FFFFFF"/>
                <w:lang w:eastAsia="en-IE"/>
              </w:rPr>
            </w:pPr>
            <w:r w:rsidRPr="0089651F">
              <w:rPr>
                <w:rFonts w:ascii="Calibri" w:eastAsia="Times New Roman" w:hAnsi="Calibri" w:cs="Calibri"/>
                <w:b/>
                <w:bCs/>
                <w:color w:val="FFFFFF"/>
                <w:lang w:eastAsia="en-IE"/>
              </w:rPr>
              <w:t>Threshold (</w:t>
            </w:r>
            <w:proofErr w:type="spellStart"/>
            <w:r w:rsidRPr="0089651F">
              <w:rPr>
                <w:rFonts w:ascii="Calibri" w:eastAsia="Times New Roman" w:hAnsi="Calibri" w:cs="Calibri"/>
                <w:b/>
                <w:bCs/>
                <w:color w:val="FFFFFF"/>
                <w:lang w:eastAsia="en-IE"/>
              </w:rPr>
              <w:t>exc</w:t>
            </w:r>
            <w:proofErr w:type="spellEnd"/>
            <w:r w:rsidRPr="0089651F">
              <w:rPr>
                <w:rFonts w:ascii="Calibri" w:eastAsia="Times New Roman" w:hAnsi="Calibri" w:cs="Calibri"/>
                <w:b/>
                <w:bCs/>
                <w:color w:val="FFFFFF"/>
                <w:lang w:eastAsia="en-IE"/>
              </w:rPr>
              <w:t xml:space="preserve"> of VAT)</w:t>
            </w:r>
          </w:p>
        </w:tc>
        <w:tc>
          <w:tcPr>
            <w:tcW w:w="6946" w:type="dxa"/>
            <w:tcBorders>
              <w:top w:val="single" w:sz="8" w:space="0" w:color="auto"/>
              <w:left w:val="nil"/>
              <w:bottom w:val="single" w:sz="4" w:space="0" w:color="auto"/>
              <w:right w:val="single" w:sz="8" w:space="0" w:color="auto"/>
            </w:tcBorders>
            <w:shd w:val="clear" w:color="auto" w:fill="4472C4"/>
            <w:noWrap/>
            <w:vAlign w:val="center"/>
            <w:hideMark/>
          </w:tcPr>
          <w:p w14:paraId="1AC84BE4" w14:textId="77777777" w:rsidR="001F640A" w:rsidRPr="0089651F" w:rsidRDefault="001F640A" w:rsidP="00A30640">
            <w:pPr>
              <w:spacing w:after="0" w:line="240" w:lineRule="auto"/>
              <w:jc w:val="center"/>
              <w:rPr>
                <w:rFonts w:ascii="Calibri" w:eastAsia="Times New Roman" w:hAnsi="Calibri" w:cs="Calibri"/>
                <w:b/>
                <w:bCs/>
                <w:color w:val="FFFFFF"/>
                <w:lang w:eastAsia="en-IE"/>
              </w:rPr>
            </w:pPr>
            <w:r w:rsidRPr="0089651F">
              <w:rPr>
                <w:rFonts w:ascii="Calibri" w:eastAsia="Times New Roman" w:hAnsi="Calibri" w:cs="Calibri"/>
                <w:b/>
                <w:bCs/>
                <w:color w:val="FFFFFF"/>
                <w:lang w:eastAsia="en-IE"/>
              </w:rPr>
              <w:t>Requirements</w:t>
            </w:r>
          </w:p>
        </w:tc>
      </w:tr>
      <w:tr w:rsidR="001F640A" w:rsidRPr="0089651F" w14:paraId="0164B3C8" w14:textId="77777777" w:rsidTr="22B56B0D">
        <w:trPr>
          <w:trHeight w:val="305"/>
        </w:trPr>
        <w:tc>
          <w:tcPr>
            <w:tcW w:w="2542" w:type="dxa"/>
            <w:tcBorders>
              <w:top w:val="nil"/>
              <w:left w:val="single" w:sz="8" w:space="0" w:color="auto"/>
              <w:bottom w:val="single" w:sz="4" w:space="0" w:color="auto"/>
              <w:right w:val="single" w:sz="4" w:space="0" w:color="auto"/>
            </w:tcBorders>
            <w:shd w:val="clear" w:color="auto" w:fill="D9E1F2"/>
            <w:noWrap/>
            <w:vAlign w:val="bottom"/>
          </w:tcPr>
          <w:p w14:paraId="77A65CFC"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0089651F">
              <w:rPr>
                <w:rFonts w:ascii="Calibri" w:eastAsia="Times New Roman" w:hAnsi="Calibri" w:cs="Calibri"/>
                <w:color w:val="000000"/>
                <w:lang w:eastAsia="en-IE"/>
              </w:rPr>
              <w:t>&lt; €</w:t>
            </w:r>
            <w:r>
              <w:rPr>
                <w:rFonts w:ascii="Calibri" w:eastAsia="Times New Roman" w:hAnsi="Calibri" w:cs="Calibri"/>
                <w:color w:val="000000"/>
                <w:lang w:eastAsia="en-IE"/>
              </w:rPr>
              <w:t>1,000</w:t>
            </w:r>
          </w:p>
        </w:tc>
        <w:tc>
          <w:tcPr>
            <w:tcW w:w="6946" w:type="dxa"/>
            <w:tcBorders>
              <w:top w:val="nil"/>
              <w:left w:val="nil"/>
              <w:bottom w:val="single" w:sz="4" w:space="0" w:color="auto"/>
              <w:right w:val="single" w:sz="8" w:space="0" w:color="auto"/>
            </w:tcBorders>
            <w:shd w:val="clear" w:color="auto" w:fill="D9E1F2"/>
            <w:vAlign w:val="center"/>
          </w:tcPr>
          <w:p w14:paraId="4EC18CF4" w14:textId="77777777" w:rsidR="001F640A" w:rsidRDefault="001F640A" w:rsidP="00A30640">
            <w:pPr>
              <w:spacing w:after="0" w:line="240" w:lineRule="auto"/>
              <w:jc w:val="center"/>
              <w:rPr>
                <w:rFonts w:ascii="Calibri" w:eastAsia="Times New Roman" w:hAnsi="Calibri" w:cs="Calibri"/>
                <w:color w:val="000000"/>
                <w:lang w:eastAsia="en-IE"/>
              </w:rPr>
            </w:pPr>
          </w:p>
          <w:p w14:paraId="724939E4" w14:textId="77777777" w:rsidR="001F640A" w:rsidRDefault="001F640A" w:rsidP="00A30640">
            <w:pPr>
              <w:spacing w:after="0" w:line="240" w:lineRule="auto"/>
              <w:jc w:val="center"/>
              <w:rPr>
                <w:rFonts w:ascii="Calibri" w:eastAsia="Times New Roman" w:hAnsi="Calibri" w:cs="Calibri"/>
                <w:color w:val="000000"/>
                <w:lang w:eastAsia="en-IE"/>
              </w:rPr>
            </w:pPr>
            <w:r w:rsidRPr="005E1D53">
              <w:rPr>
                <w:rFonts w:ascii="Calibri" w:eastAsia="Times New Roman" w:hAnsi="Calibri" w:cs="Calibri"/>
                <w:color w:val="000000"/>
                <w:lang w:eastAsia="en-IE"/>
              </w:rPr>
              <w:t xml:space="preserve">One </w:t>
            </w:r>
            <w:r>
              <w:rPr>
                <w:rFonts w:ascii="Calibri" w:eastAsia="Times New Roman" w:hAnsi="Calibri" w:cs="Calibri"/>
                <w:color w:val="000000"/>
                <w:lang w:eastAsia="en-IE"/>
              </w:rPr>
              <w:t xml:space="preserve">verbal or written </w:t>
            </w:r>
            <w:r w:rsidRPr="005E1D53">
              <w:rPr>
                <w:rFonts w:ascii="Calibri" w:eastAsia="Times New Roman" w:hAnsi="Calibri" w:cs="Calibri"/>
                <w:color w:val="000000"/>
                <w:lang w:eastAsia="en-IE"/>
              </w:rPr>
              <w:t>quote</w:t>
            </w:r>
          </w:p>
        </w:tc>
      </w:tr>
      <w:tr w:rsidR="001F640A" w:rsidRPr="0089651F" w14:paraId="5EB3851A" w14:textId="77777777" w:rsidTr="22B56B0D">
        <w:trPr>
          <w:trHeight w:val="305"/>
        </w:trPr>
        <w:tc>
          <w:tcPr>
            <w:tcW w:w="2542" w:type="dxa"/>
            <w:tcBorders>
              <w:top w:val="nil"/>
              <w:left w:val="single" w:sz="8" w:space="0" w:color="auto"/>
              <w:bottom w:val="single" w:sz="4" w:space="0" w:color="auto"/>
              <w:right w:val="single" w:sz="4" w:space="0" w:color="auto"/>
            </w:tcBorders>
            <w:shd w:val="clear" w:color="auto" w:fill="D9E1F2"/>
            <w:noWrap/>
            <w:vAlign w:val="bottom"/>
            <w:hideMark/>
          </w:tcPr>
          <w:p w14:paraId="0F51AAE5"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0089651F">
              <w:rPr>
                <w:rFonts w:ascii="Calibri" w:eastAsia="Times New Roman" w:hAnsi="Calibri" w:cs="Calibri"/>
                <w:color w:val="000000"/>
                <w:lang w:eastAsia="en-IE"/>
              </w:rPr>
              <w:t xml:space="preserve"> </w:t>
            </w:r>
            <w:r>
              <w:rPr>
                <w:rFonts w:ascii="Calibri" w:eastAsia="Times New Roman" w:hAnsi="Calibri" w:cs="Calibri"/>
                <w:color w:val="000000"/>
                <w:lang w:eastAsia="en-IE"/>
              </w:rPr>
              <w:t>≥</w:t>
            </w:r>
            <w:r w:rsidRPr="0089651F">
              <w:rPr>
                <w:rFonts w:ascii="Calibri" w:eastAsia="Times New Roman" w:hAnsi="Calibri" w:cs="Calibri"/>
                <w:color w:val="000000"/>
                <w:lang w:eastAsia="en-IE"/>
              </w:rPr>
              <w:t xml:space="preserve"> €</w:t>
            </w:r>
            <w:r>
              <w:rPr>
                <w:rFonts w:ascii="Calibri" w:eastAsia="Times New Roman" w:hAnsi="Calibri" w:cs="Calibri"/>
                <w:color w:val="000000"/>
                <w:lang w:eastAsia="en-IE"/>
              </w:rPr>
              <w:t>1</w:t>
            </w:r>
            <w:r w:rsidRPr="0089651F">
              <w:rPr>
                <w:rFonts w:ascii="Calibri" w:eastAsia="Times New Roman" w:hAnsi="Calibri" w:cs="Calibri"/>
                <w:color w:val="000000"/>
                <w:lang w:eastAsia="en-IE"/>
              </w:rPr>
              <w:t>,000 - &lt; €</w:t>
            </w:r>
            <w:r>
              <w:rPr>
                <w:rFonts w:ascii="Calibri" w:eastAsia="Times New Roman" w:hAnsi="Calibri" w:cs="Calibri"/>
                <w:color w:val="000000"/>
                <w:lang w:eastAsia="en-IE"/>
              </w:rPr>
              <w:t>5,000</w:t>
            </w:r>
          </w:p>
        </w:tc>
        <w:tc>
          <w:tcPr>
            <w:tcW w:w="6946" w:type="dxa"/>
            <w:tcBorders>
              <w:top w:val="nil"/>
              <w:left w:val="nil"/>
              <w:bottom w:val="single" w:sz="4" w:space="0" w:color="auto"/>
              <w:right w:val="single" w:sz="8" w:space="0" w:color="auto"/>
            </w:tcBorders>
            <w:shd w:val="clear" w:color="auto" w:fill="D9E1F2"/>
            <w:vAlign w:val="center"/>
            <w:hideMark/>
          </w:tcPr>
          <w:p w14:paraId="4B15D63F" w14:textId="77777777" w:rsidR="001F640A" w:rsidRDefault="001F640A" w:rsidP="00A30640">
            <w:pPr>
              <w:spacing w:after="0" w:line="240" w:lineRule="auto"/>
              <w:jc w:val="center"/>
              <w:rPr>
                <w:rFonts w:ascii="Calibri" w:eastAsia="Times New Roman" w:hAnsi="Calibri" w:cs="Calibri"/>
                <w:color w:val="000000"/>
                <w:lang w:eastAsia="en-IE"/>
              </w:rPr>
            </w:pPr>
          </w:p>
          <w:p w14:paraId="1FC90B68"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005E1D53">
              <w:rPr>
                <w:rFonts w:ascii="Calibri" w:eastAsia="Times New Roman" w:hAnsi="Calibri" w:cs="Calibri"/>
                <w:color w:val="000000"/>
                <w:lang w:eastAsia="en-IE"/>
              </w:rPr>
              <w:t xml:space="preserve">One </w:t>
            </w:r>
            <w:r>
              <w:rPr>
                <w:rFonts w:ascii="Calibri" w:eastAsia="Times New Roman" w:hAnsi="Calibri" w:cs="Calibri"/>
                <w:color w:val="000000"/>
                <w:lang w:eastAsia="en-IE"/>
              </w:rPr>
              <w:t xml:space="preserve">written </w:t>
            </w:r>
            <w:r w:rsidRPr="005E1D53">
              <w:rPr>
                <w:rFonts w:ascii="Calibri" w:eastAsia="Times New Roman" w:hAnsi="Calibri" w:cs="Calibri"/>
                <w:color w:val="000000"/>
                <w:lang w:eastAsia="en-IE"/>
              </w:rPr>
              <w:t>quote</w:t>
            </w:r>
          </w:p>
        </w:tc>
      </w:tr>
      <w:tr w:rsidR="001F640A" w:rsidRPr="0089651F" w14:paraId="44268F66" w14:textId="77777777" w:rsidTr="22B56B0D">
        <w:trPr>
          <w:trHeight w:val="300"/>
        </w:trPr>
        <w:tc>
          <w:tcPr>
            <w:tcW w:w="2542" w:type="dxa"/>
            <w:tcBorders>
              <w:top w:val="nil"/>
              <w:left w:val="single" w:sz="8" w:space="0" w:color="auto"/>
              <w:bottom w:val="single" w:sz="4" w:space="0" w:color="auto"/>
              <w:right w:val="single" w:sz="4" w:space="0" w:color="auto"/>
            </w:tcBorders>
            <w:noWrap/>
            <w:vAlign w:val="bottom"/>
            <w:hideMark/>
          </w:tcPr>
          <w:p w14:paraId="28062BC9" w14:textId="77777777" w:rsidR="001F640A" w:rsidRPr="0089651F" w:rsidRDefault="001F640A" w:rsidP="00A30640">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w:t>
            </w:r>
            <w:r w:rsidRPr="0089651F">
              <w:rPr>
                <w:rFonts w:ascii="Calibri" w:eastAsia="Times New Roman" w:hAnsi="Calibri" w:cs="Calibri"/>
                <w:color w:val="000000"/>
                <w:lang w:eastAsia="en-IE"/>
              </w:rPr>
              <w:t xml:space="preserve"> €5,000 - &lt; €</w:t>
            </w:r>
            <w:r>
              <w:rPr>
                <w:rFonts w:ascii="Calibri" w:eastAsia="Times New Roman" w:hAnsi="Calibri" w:cs="Calibri"/>
                <w:color w:val="000000"/>
                <w:lang w:eastAsia="en-IE"/>
              </w:rPr>
              <w:t>50,000</w:t>
            </w:r>
          </w:p>
        </w:tc>
        <w:tc>
          <w:tcPr>
            <w:tcW w:w="6946" w:type="dxa"/>
            <w:tcBorders>
              <w:top w:val="nil"/>
              <w:left w:val="nil"/>
              <w:bottom w:val="single" w:sz="4" w:space="0" w:color="auto"/>
              <w:right w:val="single" w:sz="8" w:space="0" w:color="auto"/>
            </w:tcBorders>
            <w:noWrap/>
            <w:vAlign w:val="center"/>
            <w:hideMark/>
          </w:tcPr>
          <w:p w14:paraId="0FCA82BB" w14:textId="77777777" w:rsidR="001F640A" w:rsidRDefault="001F640A" w:rsidP="00A30640">
            <w:pPr>
              <w:spacing w:after="0" w:line="240" w:lineRule="auto"/>
              <w:jc w:val="center"/>
              <w:rPr>
                <w:rFonts w:ascii="Calibri" w:eastAsia="Times New Roman" w:hAnsi="Calibri" w:cs="Calibri"/>
                <w:color w:val="000000" w:themeColor="text1"/>
                <w:lang w:eastAsia="en-IE"/>
              </w:rPr>
            </w:pPr>
          </w:p>
          <w:p w14:paraId="67060910"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785F32C8">
              <w:rPr>
                <w:rFonts w:ascii="Calibri" w:eastAsia="Times New Roman" w:hAnsi="Calibri" w:cs="Calibri"/>
                <w:color w:val="000000" w:themeColor="text1"/>
                <w:lang w:eastAsia="en-IE"/>
              </w:rPr>
              <w:t>Seek three written quotes</w:t>
            </w:r>
          </w:p>
        </w:tc>
      </w:tr>
      <w:tr w:rsidR="001F640A" w:rsidRPr="0089651F" w14:paraId="265662D9" w14:textId="77777777" w:rsidTr="22B56B0D">
        <w:trPr>
          <w:trHeight w:val="300"/>
        </w:trPr>
        <w:tc>
          <w:tcPr>
            <w:tcW w:w="2542" w:type="dxa"/>
            <w:tcBorders>
              <w:top w:val="nil"/>
              <w:left w:val="single" w:sz="8" w:space="0" w:color="auto"/>
              <w:bottom w:val="single" w:sz="4" w:space="0" w:color="auto"/>
              <w:right w:val="single" w:sz="4" w:space="0" w:color="auto"/>
            </w:tcBorders>
            <w:shd w:val="clear" w:color="auto" w:fill="D9E1F2"/>
            <w:noWrap/>
            <w:vAlign w:val="bottom"/>
            <w:hideMark/>
          </w:tcPr>
          <w:p w14:paraId="165827CE" w14:textId="77777777" w:rsidR="001F640A" w:rsidRPr="0089651F" w:rsidRDefault="001F640A" w:rsidP="00A30640">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w:t>
            </w:r>
            <w:r w:rsidRPr="0089651F">
              <w:rPr>
                <w:rFonts w:ascii="Calibri" w:eastAsia="Times New Roman" w:hAnsi="Calibri" w:cs="Calibri"/>
                <w:color w:val="000000"/>
                <w:lang w:eastAsia="en-IE"/>
              </w:rPr>
              <w:t xml:space="preserve"> €50,000 - &lt; €2</w:t>
            </w:r>
            <w:r>
              <w:rPr>
                <w:rFonts w:ascii="Calibri" w:eastAsia="Times New Roman" w:hAnsi="Calibri" w:cs="Calibri"/>
                <w:color w:val="000000"/>
                <w:lang w:eastAsia="en-IE"/>
              </w:rPr>
              <w:t>21</w:t>
            </w:r>
            <w:r w:rsidRPr="0089651F">
              <w:rPr>
                <w:rFonts w:ascii="Calibri" w:eastAsia="Times New Roman" w:hAnsi="Calibri" w:cs="Calibri"/>
                <w:color w:val="000000"/>
                <w:lang w:eastAsia="en-IE"/>
              </w:rPr>
              <w:t>,000</w:t>
            </w:r>
          </w:p>
        </w:tc>
        <w:tc>
          <w:tcPr>
            <w:tcW w:w="6946" w:type="dxa"/>
            <w:tcBorders>
              <w:top w:val="nil"/>
              <w:left w:val="nil"/>
              <w:bottom w:val="single" w:sz="4" w:space="0" w:color="auto"/>
              <w:right w:val="single" w:sz="8" w:space="0" w:color="auto"/>
            </w:tcBorders>
            <w:shd w:val="clear" w:color="auto" w:fill="D9E1F2"/>
            <w:noWrap/>
            <w:vAlign w:val="center"/>
            <w:hideMark/>
          </w:tcPr>
          <w:p w14:paraId="4EFBC4F4" w14:textId="77777777" w:rsidR="001F640A" w:rsidRDefault="001F640A" w:rsidP="00A30640">
            <w:pPr>
              <w:spacing w:after="0" w:line="240" w:lineRule="auto"/>
              <w:jc w:val="center"/>
              <w:rPr>
                <w:rFonts w:ascii="Calibri" w:eastAsia="Times New Roman" w:hAnsi="Calibri" w:cs="Calibri"/>
                <w:color w:val="000000"/>
                <w:lang w:eastAsia="en-IE"/>
              </w:rPr>
            </w:pPr>
          </w:p>
          <w:p w14:paraId="2BBFAA8B"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0089651F">
              <w:rPr>
                <w:rFonts w:ascii="Calibri" w:eastAsia="Times New Roman" w:hAnsi="Calibri" w:cs="Calibri"/>
                <w:color w:val="000000"/>
                <w:lang w:eastAsia="en-IE"/>
              </w:rPr>
              <w:t xml:space="preserve">Tender </w:t>
            </w:r>
            <w:r>
              <w:rPr>
                <w:rFonts w:ascii="Calibri" w:eastAsia="Times New Roman" w:hAnsi="Calibri" w:cs="Calibri"/>
                <w:color w:val="000000"/>
                <w:lang w:eastAsia="en-IE"/>
              </w:rPr>
              <w:t>–</w:t>
            </w:r>
            <w:r w:rsidRPr="0089651F">
              <w:rPr>
                <w:rFonts w:ascii="Calibri" w:eastAsia="Times New Roman" w:hAnsi="Calibri" w:cs="Calibri"/>
                <w:color w:val="000000"/>
                <w:lang w:eastAsia="en-IE"/>
              </w:rPr>
              <w:t xml:space="preserve"> National</w:t>
            </w:r>
          </w:p>
        </w:tc>
      </w:tr>
      <w:tr w:rsidR="001F640A" w:rsidRPr="0089651F" w14:paraId="452D91DA" w14:textId="77777777" w:rsidTr="22B56B0D">
        <w:trPr>
          <w:trHeight w:val="315"/>
        </w:trPr>
        <w:tc>
          <w:tcPr>
            <w:tcW w:w="2542" w:type="dxa"/>
            <w:tcBorders>
              <w:top w:val="nil"/>
              <w:left w:val="single" w:sz="8" w:space="0" w:color="auto"/>
              <w:bottom w:val="single" w:sz="4" w:space="0" w:color="auto"/>
              <w:right w:val="single" w:sz="4" w:space="0" w:color="auto"/>
            </w:tcBorders>
            <w:noWrap/>
            <w:vAlign w:val="bottom"/>
            <w:hideMark/>
          </w:tcPr>
          <w:p w14:paraId="5B1ADCCC" w14:textId="77777777" w:rsidR="001F640A" w:rsidRPr="0089651F" w:rsidRDefault="001F640A" w:rsidP="00A30640">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w:t>
            </w:r>
            <w:r w:rsidRPr="0089651F">
              <w:rPr>
                <w:rFonts w:ascii="Calibri" w:eastAsia="Times New Roman" w:hAnsi="Calibri" w:cs="Calibri"/>
                <w:color w:val="000000"/>
                <w:lang w:eastAsia="en-IE"/>
              </w:rPr>
              <w:t xml:space="preserve"> €2</w:t>
            </w:r>
            <w:r>
              <w:rPr>
                <w:rFonts w:ascii="Calibri" w:eastAsia="Times New Roman" w:hAnsi="Calibri" w:cs="Calibri"/>
                <w:color w:val="000000"/>
                <w:lang w:eastAsia="en-IE"/>
              </w:rPr>
              <w:t>21</w:t>
            </w:r>
            <w:r w:rsidRPr="0089651F">
              <w:rPr>
                <w:rFonts w:ascii="Calibri" w:eastAsia="Times New Roman" w:hAnsi="Calibri" w:cs="Calibri"/>
                <w:color w:val="000000"/>
                <w:lang w:eastAsia="en-IE"/>
              </w:rPr>
              <w:t>,000</w:t>
            </w:r>
          </w:p>
        </w:tc>
        <w:tc>
          <w:tcPr>
            <w:tcW w:w="6946" w:type="dxa"/>
            <w:tcBorders>
              <w:top w:val="nil"/>
              <w:left w:val="nil"/>
              <w:bottom w:val="single" w:sz="4" w:space="0" w:color="auto"/>
              <w:right w:val="single" w:sz="8" w:space="0" w:color="auto"/>
            </w:tcBorders>
            <w:noWrap/>
            <w:vAlign w:val="center"/>
            <w:hideMark/>
          </w:tcPr>
          <w:p w14:paraId="30956044" w14:textId="77777777" w:rsidR="001F640A" w:rsidRDefault="001F640A" w:rsidP="00A30640">
            <w:pPr>
              <w:spacing w:after="0" w:line="240" w:lineRule="auto"/>
              <w:jc w:val="center"/>
              <w:rPr>
                <w:rFonts w:ascii="Calibri" w:eastAsia="Times New Roman" w:hAnsi="Calibri" w:cs="Calibri"/>
                <w:color w:val="000000"/>
                <w:lang w:eastAsia="en-IE"/>
              </w:rPr>
            </w:pPr>
          </w:p>
          <w:p w14:paraId="6D9AE897" w14:textId="77777777" w:rsidR="001F640A" w:rsidRPr="0089651F" w:rsidRDefault="001F640A" w:rsidP="00A30640">
            <w:pPr>
              <w:spacing w:after="0" w:line="240" w:lineRule="auto"/>
              <w:jc w:val="center"/>
              <w:rPr>
                <w:rFonts w:ascii="Calibri" w:eastAsia="Times New Roman" w:hAnsi="Calibri" w:cs="Calibri"/>
                <w:color w:val="000000"/>
                <w:lang w:eastAsia="en-IE"/>
              </w:rPr>
            </w:pPr>
            <w:r w:rsidRPr="0089651F">
              <w:rPr>
                <w:rFonts w:ascii="Calibri" w:eastAsia="Times New Roman" w:hAnsi="Calibri" w:cs="Calibri"/>
                <w:color w:val="000000"/>
                <w:lang w:eastAsia="en-IE"/>
              </w:rPr>
              <w:t xml:space="preserve">Tender </w:t>
            </w:r>
            <w:r>
              <w:rPr>
                <w:rFonts w:ascii="Calibri" w:eastAsia="Times New Roman" w:hAnsi="Calibri" w:cs="Calibri"/>
                <w:color w:val="000000"/>
                <w:lang w:eastAsia="en-IE"/>
              </w:rPr>
              <w:t>–</w:t>
            </w:r>
            <w:r w:rsidRPr="0089651F">
              <w:rPr>
                <w:rFonts w:ascii="Calibri" w:eastAsia="Times New Roman" w:hAnsi="Calibri" w:cs="Calibri"/>
                <w:color w:val="000000"/>
                <w:lang w:eastAsia="en-IE"/>
              </w:rPr>
              <w:t xml:space="preserve"> OJEU</w:t>
            </w:r>
          </w:p>
        </w:tc>
      </w:tr>
    </w:tbl>
    <w:p w14:paraId="0041431F" w14:textId="77777777" w:rsidR="001F640A" w:rsidRDefault="001F640A" w:rsidP="001F640A"/>
    <w:p w14:paraId="690375B2" w14:textId="77777777" w:rsidR="00EA35B6" w:rsidRDefault="00EA35B6" w:rsidP="001F640A"/>
    <w:p w14:paraId="2623A73F" w14:textId="77777777" w:rsidR="00EA35B6" w:rsidRDefault="00EA35B6" w:rsidP="001F640A"/>
    <w:p w14:paraId="1DBA9B6D" w14:textId="1AE96FAE" w:rsidR="00EA35B6" w:rsidRDefault="00EA35B6">
      <w:r>
        <w:br w:type="page"/>
      </w:r>
    </w:p>
    <w:p w14:paraId="2690EB0E" w14:textId="77777777" w:rsidR="00EA35B6" w:rsidRPr="00EA35B6" w:rsidRDefault="00EA35B6" w:rsidP="00EA35B6">
      <w:pPr>
        <w:rPr>
          <w:sz w:val="32"/>
          <w:szCs w:val="32"/>
          <w:lang w:val="en-US"/>
        </w:rPr>
      </w:pPr>
      <w:r w:rsidRPr="00EA35B6">
        <w:rPr>
          <w:sz w:val="32"/>
          <w:szCs w:val="32"/>
          <w:lang w:val="en-US"/>
        </w:rPr>
        <w:lastRenderedPageBreak/>
        <w:t>Appendix 2 – Example ICT Loan Agreement Policy</w:t>
      </w:r>
    </w:p>
    <w:p w14:paraId="20962DF6" w14:textId="2257EF90" w:rsidR="00EA35B6" w:rsidRPr="00EA35B6" w:rsidRDefault="00A54CE8" w:rsidP="00EA35B6">
      <w:pPr>
        <w:rPr>
          <w:lang w:val="en-US"/>
        </w:rPr>
      </w:pPr>
      <w:r>
        <w:rPr>
          <w:noProof/>
        </w:rPr>
        <w:drawing>
          <wp:anchor distT="0" distB="0" distL="0" distR="0" simplePos="0" relativeHeight="251658241" behindDoc="1" locked="0" layoutInCell="1" allowOverlap="1" wp14:anchorId="4809012C" wp14:editId="228E39D0">
            <wp:simplePos x="0" y="0"/>
            <wp:positionH relativeFrom="margin">
              <wp:align>left</wp:align>
            </wp:positionH>
            <wp:positionV relativeFrom="paragraph">
              <wp:posOffset>120015</wp:posOffset>
            </wp:positionV>
            <wp:extent cx="5521558" cy="5699760"/>
            <wp:effectExtent l="0" t="0" r="3175" b="0"/>
            <wp:wrapTopAndBottom/>
            <wp:docPr id="14" name="Image 14" descr="Tab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Table  Description automatically generated"/>
                    <pic:cNvPicPr/>
                  </pic:nvPicPr>
                  <pic:blipFill>
                    <a:blip r:embed="rId16" cstate="print"/>
                    <a:stretch>
                      <a:fillRect/>
                    </a:stretch>
                  </pic:blipFill>
                  <pic:spPr>
                    <a:xfrm>
                      <a:off x="0" y="0"/>
                      <a:ext cx="5521558" cy="5699760"/>
                    </a:xfrm>
                    <a:prstGeom prst="rect">
                      <a:avLst/>
                    </a:prstGeom>
                  </pic:spPr>
                </pic:pic>
              </a:graphicData>
            </a:graphic>
          </wp:anchor>
        </w:drawing>
      </w:r>
    </w:p>
    <w:p w14:paraId="086E19D7" w14:textId="6202D951" w:rsidR="00EA35B6" w:rsidRDefault="00EA35B6" w:rsidP="001F640A">
      <w:pPr>
        <w:rPr>
          <w:lang w:val="en-US"/>
        </w:rPr>
      </w:pPr>
    </w:p>
    <w:p w14:paraId="2D239BFA" w14:textId="77777777" w:rsidR="00EA35B6" w:rsidRPr="00EA35B6" w:rsidRDefault="00EA35B6" w:rsidP="00EA35B6">
      <w:pPr>
        <w:rPr>
          <w:lang w:val="en-US"/>
        </w:rPr>
      </w:pPr>
    </w:p>
    <w:p w14:paraId="50D1092C" w14:textId="77777777" w:rsidR="00EA35B6" w:rsidRPr="00EA35B6" w:rsidRDefault="00EA35B6" w:rsidP="00EA35B6">
      <w:pPr>
        <w:rPr>
          <w:lang w:val="en-US"/>
        </w:rPr>
      </w:pPr>
    </w:p>
    <w:p w14:paraId="55962DFE" w14:textId="77777777" w:rsidR="00EA35B6" w:rsidRPr="00EA35B6" w:rsidRDefault="00EA35B6" w:rsidP="00EA35B6">
      <w:pPr>
        <w:rPr>
          <w:lang w:val="en-US"/>
        </w:rPr>
      </w:pPr>
    </w:p>
    <w:p w14:paraId="3131F86A" w14:textId="77777777" w:rsidR="00EA35B6" w:rsidRPr="00EA35B6" w:rsidRDefault="00EA35B6" w:rsidP="00EA35B6">
      <w:pPr>
        <w:rPr>
          <w:lang w:val="en-US"/>
        </w:rPr>
      </w:pPr>
    </w:p>
    <w:p w14:paraId="42FA40B2" w14:textId="4EEFF344" w:rsidR="00EA35B6" w:rsidRDefault="00EA35B6" w:rsidP="00EA35B6">
      <w:pPr>
        <w:tabs>
          <w:tab w:val="left" w:pos="2460"/>
        </w:tabs>
        <w:rPr>
          <w:lang w:val="en-US"/>
        </w:rPr>
      </w:pPr>
      <w:r>
        <w:rPr>
          <w:lang w:val="en-US"/>
        </w:rPr>
        <w:tab/>
      </w:r>
    </w:p>
    <w:p w14:paraId="5C24E81F" w14:textId="77777777" w:rsidR="00EA35B6" w:rsidRPr="00EA35B6" w:rsidRDefault="00EA35B6" w:rsidP="00EA35B6">
      <w:pPr>
        <w:tabs>
          <w:tab w:val="left" w:pos="2460"/>
        </w:tabs>
        <w:rPr>
          <w:sz w:val="32"/>
          <w:szCs w:val="32"/>
          <w:lang w:val="en-US"/>
        </w:rPr>
      </w:pPr>
      <w:r w:rsidRPr="00EA35B6">
        <w:rPr>
          <w:sz w:val="32"/>
          <w:szCs w:val="32"/>
          <w:lang w:val="en-US"/>
        </w:rPr>
        <w:lastRenderedPageBreak/>
        <w:t>Appendix 3 – Leap Card Record of Distribution Example</w:t>
      </w:r>
    </w:p>
    <w:p w14:paraId="0EE9E3CD" w14:textId="77777777" w:rsidR="00EA35B6" w:rsidRPr="00EA35B6" w:rsidRDefault="00EA35B6" w:rsidP="00EA35B6">
      <w:pPr>
        <w:tabs>
          <w:tab w:val="left" w:pos="2460"/>
        </w:tabs>
        <w:rPr>
          <w:lang w:val="en-US"/>
        </w:rPr>
      </w:pPr>
    </w:p>
    <w:p w14:paraId="3DD4F096" w14:textId="77777777" w:rsidR="00EA35B6" w:rsidRPr="00EA35B6" w:rsidRDefault="00EA35B6" w:rsidP="00EA35B6">
      <w:pPr>
        <w:tabs>
          <w:tab w:val="left" w:pos="2460"/>
        </w:tabs>
        <w:rPr>
          <w:b/>
          <w:lang w:val="en-US"/>
        </w:rPr>
      </w:pPr>
      <w:r w:rsidRPr="00EA35B6">
        <w:rPr>
          <w:b/>
          <w:lang w:val="en-US"/>
        </w:rPr>
        <w:t>LEAP CARD RECORD OF DISTRIBUTION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70"/>
        <w:gridCol w:w="2043"/>
        <w:gridCol w:w="1634"/>
        <w:gridCol w:w="2645"/>
        <w:gridCol w:w="1224"/>
      </w:tblGrid>
      <w:tr w:rsidR="00EA35B6" w14:paraId="739F3A83" w14:textId="77777777" w:rsidTr="00EA35B6">
        <w:trPr>
          <w:trHeight w:val="537"/>
        </w:trPr>
        <w:tc>
          <w:tcPr>
            <w:tcW w:w="815" w:type="pct"/>
            <w:shd w:val="clear" w:color="auto" w:fill="44536A"/>
          </w:tcPr>
          <w:p w14:paraId="38F59EF4" w14:textId="77777777" w:rsidR="00EA35B6" w:rsidRDefault="00EA35B6" w:rsidP="00A30640">
            <w:pPr>
              <w:pStyle w:val="TableParagraph"/>
              <w:spacing w:line="268" w:lineRule="exact"/>
              <w:ind w:left="10"/>
              <w:jc w:val="center"/>
              <w:rPr>
                <w:b/>
              </w:rPr>
            </w:pPr>
            <w:r>
              <w:rPr>
                <w:b/>
                <w:color w:val="FFFFFF"/>
              </w:rPr>
              <w:t>Leap</w:t>
            </w:r>
            <w:r>
              <w:rPr>
                <w:b/>
                <w:color w:val="FFFFFF"/>
                <w:spacing w:val="-3"/>
              </w:rPr>
              <w:t xml:space="preserve"> </w:t>
            </w:r>
            <w:r>
              <w:rPr>
                <w:b/>
                <w:color w:val="FFFFFF"/>
                <w:spacing w:val="-4"/>
              </w:rPr>
              <w:t>Card</w:t>
            </w:r>
          </w:p>
          <w:p w14:paraId="41DFC41E" w14:textId="77777777" w:rsidR="00EA35B6" w:rsidRDefault="00EA35B6" w:rsidP="00A30640">
            <w:pPr>
              <w:pStyle w:val="TableParagraph"/>
              <w:spacing w:line="249" w:lineRule="exact"/>
              <w:ind w:left="10"/>
              <w:jc w:val="center"/>
              <w:rPr>
                <w:b/>
              </w:rPr>
            </w:pPr>
            <w:r>
              <w:rPr>
                <w:b/>
                <w:color w:val="FFFFFF"/>
              </w:rPr>
              <w:t>Serial</w:t>
            </w:r>
            <w:r>
              <w:rPr>
                <w:b/>
                <w:color w:val="FFFFFF"/>
                <w:spacing w:val="-7"/>
              </w:rPr>
              <w:t xml:space="preserve"> </w:t>
            </w:r>
            <w:r>
              <w:rPr>
                <w:b/>
                <w:color w:val="FFFFFF"/>
                <w:spacing w:val="-2"/>
              </w:rPr>
              <w:t>Number</w:t>
            </w:r>
          </w:p>
        </w:tc>
        <w:tc>
          <w:tcPr>
            <w:tcW w:w="1133" w:type="pct"/>
            <w:shd w:val="clear" w:color="auto" w:fill="44536A"/>
          </w:tcPr>
          <w:p w14:paraId="407385B2" w14:textId="77777777" w:rsidR="00EA35B6" w:rsidRDefault="00EA35B6" w:rsidP="00A30640">
            <w:pPr>
              <w:pStyle w:val="TableParagraph"/>
              <w:spacing w:before="268" w:line="249" w:lineRule="exact"/>
              <w:ind w:left="227"/>
              <w:rPr>
                <w:b/>
              </w:rPr>
            </w:pPr>
            <w:r>
              <w:rPr>
                <w:b/>
                <w:color w:val="FFFFFF"/>
                <w:spacing w:val="-2"/>
              </w:rPr>
              <w:t>Person</w:t>
            </w:r>
            <w:r>
              <w:rPr>
                <w:b/>
                <w:color w:val="FFFFFF"/>
                <w:spacing w:val="2"/>
              </w:rPr>
              <w:t xml:space="preserve"> </w:t>
            </w:r>
            <w:r>
              <w:rPr>
                <w:b/>
                <w:color w:val="FFFFFF"/>
                <w:spacing w:val="-2"/>
              </w:rPr>
              <w:t>Allocated</w:t>
            </w:r>
            <w:r>
              <w:rPr>
                <w:b/>
                <w:color w:val="FFFFFF"/>
                <w:spacing w:val="2"/>
              </w:rPr>
              <w:t xml:space="preserve"> </w:t>
            </w:r>
            <w:r>
              <w:rPr>
                <w:b/>
                <w:color w:val="FFFFFF"/>
                <w:spacing w:val="-5"/>
              </w:rPr>
              <w:t>To</w:t>
            </w:r>
          </w:p>
        </w:tc>
        <w:tc>
          <w:tcPr>
            <w:tcW w:w="906" w:type="pct"/>
            <w:shd w:val="clear" w:color="auto" w:fill="44536A"/>
          </w:tcPr>
          <w:p w14:paraId="2ADCCC7E" w14:textId="77777777" w:rsidR="00EA35B6" w:rsidRDefault="00EA35B6" w:rsidP="00A30640">
            <w:pPr>
              <w:pStyle w:val="TableParagraph"/>
              <w:spacing w:before="268" w:line="249" w:lineRule="exact"/>
              <w:ind w:left="462"/>
              <w:rPr>
                <w:b/>
              </w:rPr>
            </w:pPr>
            <w:r>
              <w:rPr>
                <w:b/>
                <w:color w:val="FFFFFF"/>
                <w:spacing w:val="-2"/>
              </w:rPr>
              <w:t>Signature</w:t>
            </w:r>
          </w:p>
        </w:tc>
        <w:tc>
          <w:tcPr>
            <w:tcW w:w="1467" w:type="pct"/>
            <w:shd w:val="clear" w:color="auto" w:fill="44536A"/>
          </w:tcPr>
          <w:p w14:paraId="739DB48B" w14:textId="77777777" w:rsidR="00EA35B6" w:rsidRDefault="00EA35B6" w:rsidP="00A30640">
            <w:pPr>
              <w:pStyle w:val="TableParagraph"/>
              <w:spacing w:before="268" w:line="249" w:lineRule="exact"/>
              <w:ind w:left="375"/>
              <w:rPr>
                <w:b/>
              </w:rPr>
            </w:pPr>
            <w:r>
              <w:rPr>
                <w:b/>
                <w:color w:val="FFFFFF"/>
              </w:rPr>
              <w:t>Rationale</w:t>
            </w:r>
            <w:r>
              <w:rPr>
                <w:b/>
                <w:color w:val="FFFFFF"/>
                <w:spacing w:val="-8"/>
              </w:rPr>
              <w:t xml:space="preserve"> </w:t>
            </w:r>
            <w:r>
              <w:rPr>
                <w:b/>
                <w:color w:val="FFFFFF"/>
              </w:rPr>
              <w:t>for</w:t>
            </w:r>
            <w:r>
              <w:rPr>
                <w:b/>
                <w:color w:val="FFFFFF"/>
                <w:spacing w:val="-4"/>
              </w:rPr>
              <w:t xml:space="preserve"> </w:t>
            </w:r>
            <w:r>
              <w:rPr>
                <w:b/>
                <w:color w:val="FFFFFF"/>
                <w:spacing w:val="-2"/>
              </w:rPr>
              <w:t>Allocation</w:t>
            </w:r>
          </w:p>
        </w:tc>
        <w:tc>
          <w:tcPr>
            <w:tcW w:w="679" w:type="pct"/>
            <w:shd w:val="clear" w:color="auto" w:fill="44536A"/>
          </w:tcPr>
          <w:p w14:paraId="0424303C" w14:textId="77777777" w:rsidR="00EA35B6" w:rsidRDefault="00EA35B6" w:rsidP="00A30640">
            <w:pPr>
              <w:pStyle w:val="TableParagraph"/>
              <w:spacing w:line="268" w:lineRule="exact"/>
              <w:ind w:left="8" w:right="2"/>
              <w:jc w:val="center"/>
              <w:rPr>
                <w:b/>
              </w:rPr>
            </w:pPr>
            <w:r>
              <w:rPr>
                <w:b/>
                <w:color w:val="FFFFFF"/>
                <w:spacing w:val="-4"/>
              </w:rPr>
              <w:t>Date</w:t>
            </w:r>
          </w:p>
          <w:p w14:paraId="7B5B2B76" w14:textId="77777777" w:rsidR="00EA35B6" w:rsidRDefault="00EA35B6" w:rsidP="00A30640">
            <w:pPr>
              <w:pStyle w:val="TableParagraph"/>
              <w:spacing w:line="249" w:lineRule="exact"/>
              <w:ind w:left="8"/>
              <w:jc w:val="center"/>
              <w:rPr>
                <w:b/>
              </w:rPr>
            </w:pPr>
            <w:r>
              <w:rPr>
                <w:b/>
                <w:color w:val="FFFFFF"/>
                <w:spacing w:val="-2"/>
              </w:rPr>
              <w:t>Allocated</w:t>
            </w:r>
          </w:p>
        </w:tc>
      </w:tr>
      <w:tr w:rsidR="00EA35B6" w14:paraId="686FBCDF" w14:textId="77777777" w:rsidTr="00EA35B6">
        <w:trPr>
          <w:trHeight w:val="300"/>
        </w:trPr>
        <w:tc>
          <w:tcPr>
            <w:tcW w:w="815" w:type="pct"/>
          </w:tcPr>
          <w:p w14:paraId="3E949C1D" w14:textId="77777777" w:rsidR="00EA35B6" w:rsidRDefault="00EA35B6" w:rsidP="00A30640">
            <w:pPr>
              <w:pStyle w:val="TableParagraph"/>
              <w:rPr>
                <w:rFonts w:ascii="Times New Roman"/>
              </w:rPr>
            </w:pPr>
          </w:p>
        </w:tc>
        <w:tc>
          <w:tcPr>
            <w:tcW w:w="1133" w:type="pct"/>
          </w:tcPr>
          <w:p w14:paraId="6635ED5C" w14:textId="77777777" w:rsidR="00EA35B6" w:rsidRDefault="00EA35B6" w:rsidP="00A30640">
            <w:pPr>
              <w:pStyle w:val="TableParagraph"/>
              <w:rPr>
                <w:rFonts w:ascii="Times New Roman"/>
              </w:rPr>
            </w:pPr>
          </w:p>
        </w:tc>
        <w:tc>
          <w:tcPr>
            <w:tcW w:w="906" w:type="pct"/>
          </w:tcPr>
          <w:p w14:paraId="3DDFC0AF" w14:textId="77777777" w:rsidR="00EA35B6" w:rsidRDefault="00EA35B6" w:rsidP="00A30640">
            <w:pPr>
              <w:pStyle w:val="TableParagraph"/>
              <w:rPr>
                <w:rFonts w:ascii="Times New Roman"/>
              </w:rPr>
            </w:pPr>
          </w:p>
        </w:tc>
        <w:tc>
          <w:tcPr>
            <w:tcW w:w="1467" w:type="pct"/>
          </w:tcPr>
          <w:p w14:paraId="4BEFC062" w14:textId="77777777" w:rsidR="00EA35B6" w:rsidRDefault="00EA35B6" w:rsidP="00A30640">
            <w:pPr>
              <w:pStyle w:val="TableParagraph"/>
              <w:rPr>
                <w:rFonts w:ascii="Times New Roman"/>
              </w:rPr>
            </w:pPr>
          </w:p>
        </w:tc>
        <w:tc>
          <w:tcPr>
            <w:tcW w:w="679" w:type="pct"/>
          </w:tcPr>
          <w:p w14:paraId="47B43C07" w14:textId="77777777" w:rsidR="00EA35B6" w:rsidRDefault="00EA35B6" w:rsidP="00A30640">
            <w:pPr>
              <w:pStyle w:val="TableParagraph"/>
              <w:rPr>
                <w:rFonts w:ascii="Times New Roman"/>
              </w:rPr>
            </w:pPr>
          </w:p>
        </w:tc>
      </w:tr>
      <w:tr w:rsidR="00EA35B6" w14:paraId="33EE2971" w14:textId="77777777" w:rsidTr="00EA35B6">
        <w:trPr>
          <w:trHeight w:val="299"/>
        </w:trPr>
        <w:tc>
          <w:tcPr>
            <w:tcW w:w="815" w:type="pct"/>
          </w:tcPr>
          <w:p w14:paraId="21AD992C" w14:textId="77777777" w:rsidR="00EA35B6" w:rsidRDefault="00EA35B6" w:rsidP="00A30640">
            <w:pPr>
              <w:pStyle w:val="TableParagraph"/>
              <w:rPr>
                <w:rFonts w:ascii="Times New Roman"/>
              </w:rPr>
            </w:pPr>
          </w:p>
        </w:tc>
        <w:tc>
          <w:tcPr>
            <w:tcW w:w="1133" w:type="pct"/>
          </w:tcPr>
          <w:p w14:paraId="1BD9DE84" w14:textId="77777777" w:rsidR="00EA35B6" w:rsidRDefault="00EA35B6" w:rsidP="00A30640">
            <w:pPr>
              <w:pStyle w:val="TableParagraph"/>
              <w:rPr>
                <w:rFonts w:ascii="Times New Roman"/>
              </w:rPr>
            </w:pPr>
          </w:p>
        </w:tc>
        <w:tc>
          <w:tcPr>
            <w:tcW w:w="906" w:type="pct"/>
          </w:tcPr>
          <w:p w14:paraId="103A23E8" w14:textId="77777777" w:rsidR="00EA35B6" w:rsidRDefault="00EA35B6" w:rsidP="00A30640">
            <w:pPr>
              <w:pStyle w:val="TableParagraph"/>
              <w:rPr>
                <w:rFonts w:ascii="Times New Roman"/>
              </w:rPr>
            </w:pPr>
          </w:p>
        </w:tc>
        <w:tc>
          <w:tcPr>
            <w:tcW w:w="1467" w:type="pct"/>
          </w:tcPr>
          <w:p w14:paraId="2180265E" w14:textId="77777777" w:rsidR="00EA35B6" w:rsidRDefault="00EA35B6" w:rsidP="00A30640">
            <w:pPr>
              <w:pStyle w:val="TableParagraph"/>
              <w:rPr>
                <w:rFonts w:ascii="Times New Roman"/>
              </w:rPr>
            </w:pPr>
          </w:p>
        </w:tc>
        <w:tc>
          <w:tcPr>
            <w:tcW w:w="679" w:type="pct"/>
          </w:tcPr>
          <w:p w14:paraId="4C4CA8A2" w14:textId="77777777" w:rsidR="00EA35B6" w:rsidRDefault="00EA35B6" w:rsidP="00A30640">
            <w:pPr>
              <w:pStyle w:val="TableParagraph"/>
              <w:rPr>
                <w:rFonts w:ascii="Times New Roman"/>
              </w:rPr>
            </w:pPr>
          </w:p>
        </w:tc>
      </w:tr>
      <w:tr w:rsidR="00EA35B6" w14:paraId="3DE95313" w14:textId="77777777" w:rsidTr="00EA35B6">
        <w:trPr>
          <w:trHeight w:val="299"/>
        </w:trPr>
        <w:tc>
          <w:tcPr>
            <w:tcW w:w="815" w:type="pct"/>
          </w:tcPr>
          <w:p w14:paraId="52B89EAE" w14:textId="77777777" w:rsidR="00EA35B6" w:rsidRDefault="00EA35B6" w:rsidP="00A30640">
            <w:pPr>
              <w:pStyle w:val="TableParagraph"/>
              <w:rPr>
                <w:rFonts w:ascii="Times New Roman"/>
              </w:rPr>
            </w:pPr>
          </w:p>
        </w:tc>
        <w:tc>
          <w:tcPr>
            <w:tcW w:w="1133" w:type="pct"/>
          </w:tcPr>
          <w:p w14:paraId="0FAC4FC2" w14:textId="77777777" w:rsidR="00EA35B6" w:rsidRDefault="00EA35B6" w:rsidP="00A30640">
            <w:pPr>
              <w:pStyle w:val="TableParagraph"/>
              <w:rPr>
                <w:rFonts w:ascii="Times New Roman"/>
              </w:rPr>
            </w:pPr>
          </w:p>
        </w:tc>
        <w:tc>
          <w:tcPr>
            <w:tcW w:w="906" w:type="pct"/>
          </w:tcPr>
          <w:p w14:paraId="607C7115" w14:textId="77777777" w:rsidR="00EA35B6" w:rsidRDefault="00EA35B6" w:rsidP="00A30640">
            <w:pPr>
              <w:pStyle w:val="TableParagraph"/>
              <w:rPr>
                <w:rFonts w:ascii="Times New Roman"/>
              </w:rPr>
            </w:pPr>
          </w:p>
        </w:tc>
        <w:tc>
          <w:tcPr>
            <w:tcW w:w="1467" w:type="pct"/>
          </w:tcPr>
          <w:p w14:paraId="210B27E5" w14:textId="77777777" w:rsidR="00EA35B6" w:rsidRDefault="00EA35B6" w:rsidP="00A30640">
            <w:pPr>
              <w:pStyle w:val="TableParagraph"/>
              <w:rPr>
                <w:rFonts w:ascii="Times New Roman"/>
              </w:rPr>
            </w:pPr>
          </w:p>
        </w:tc>
        <w:tc>
          <w:tcPr>
            <w:tcW w:w="679" w:type="pct"/>
          </w:tcPr>
          <w:p w14:paraId="440639EF" w14:textId="77777777" w:rsidR="00EA35B6" w:rsidRDefault="00EA35B6" w:rsidP="00A30640">
            <w:pPr>
              <w:pStyle w:val="TableParagraph"/>
              <w:rPr>
                <w:rFonts w:ascii="Times New Roman"/>
              </w:rPr>
            </w:pPr>
          </w:p>
        </w:tc>
      </w:tr>
      <w:tr w:rsidR="00EA35B6" w14:paraId="3B0B660C" w14:textId="77777777" w:rsidTr="00EA35B6">
        <w:trPr>
          <w:trHeight w:val="299"/>
        </w:trPr>
        <w:tc>
          <w:tcPr>
            <w:tcW w:w="815" w:type="pct"/>
          </w:tcPr>
          <w:p w14:paraId="3B24E428" w14:textId="77777777" w:rsidR="00EA35B6" w:rsidRDefault="00EA35B6" w:rsidP="00A30640">
            <w:pPr>
              <w:pStyle w:val="TableParagraph"/>
              <w:rPr>
                <w:rFonts w:ascii="Times New Roman"/>
              </w:rPr>
            </w:pPr>
          </w:p>
        </w:tc>
        <w:tc>
          <w:tcPr>
            <w:tcW w:w="1133" w:type="pct"/>
          </w:tcPr>
          <w:p w14:paraId="1151ADB9" w14:textId="77777777" w:rsidR="00EA35B6" w:rsidRDefault="00EA35B6" w:rsidP="00A30640">
            <w:pPr>
              <w:pStyle w:val="TableParagraph"/>
              <w:rPr>
                <w:rFonts w:ascii="Times New Roman"/>
              </w:rPr>
            </w:pPr>
          </w:p>
        </w:tc>
        <w:tc>
          <w:tcPr>
            <w:tcW w:w="906" w:type="pct"/>
          </w:tcPr>
          <w:p w14:paraId="058247DC" w14:textId="77777777" w:rsidR="00EA35B6" w:rsidRDefault="00EA35B6" w:rsidP="00A30640">
            <w:pPr>
              <w:pStyle w:val="TableParagraph"/>
              <w:rPr>
                <w:rFonts w:ascii="Times New Roman"/>
              </w:rPr>
            </w:pPr>
          </w:p>
        </w:tc>
        <w:tc>
          <w:tcPr>
            <w:tcW w:w="1467" w:type="pct"/>
          </w:tcPr>
          <w:p w14:paraId="720B787E" w14:textId="77777777" w:rsidR="00EA35B6" w:rsidRDefault="00EA35B6" w:rsidP="00A30640">
            <w:pPr>
              <w:pStyle w:val="TableParagraph"/>
              <w:rPr>
                <w:rFonts w:ascii="Times New Roman"/>
              </w:rPr>
            </w:pPr>
          </w:p>
        </w:tc>
        <w:tc>
          <w:tcPr>
            <w:tcW w:w="679" w:type="pct"/>
          </w:tcPr>
          <w:p w14:paraId="3D1A751B" w14:textId="77777777" w:rsidR="00EA35B6" w:rsidRDefault="00EA35B6" w:rsidP="00A30640">
            <w:pPr>
              <w:pStyle w:val="TableParagraph"/>
              <w:rPr>
                <w:rFonts w:ascii="Times New Roman"/>
              </w:rPr>
            </w:pPr>
          </w:p>
        </w:tc>
      </w:tr>
      <w:tr w:rsidR="00EA35B6" w14:paraId="76EEED5E" w14:textId="77777777" w:rsidTr="00EA35B6">
        <w:trPr>
          <w:trHeight w:val="299"/>
        </w:trPr>
        <w:tc>
          <w:tcPr>
            <w:tcW w:w="815" w:type="pct"/>
          </w:tcPr>
          <w:p w14:paraId="3F56C103" w14:textId="77777777" w:rsidR="00EA35B6" w:rsidRDefault="00EA35B6" w:rsidP="00A30640">
            <w:pPr>
              <w:pStyle w:val="TableParagraph"/>
              <w:rPr>
                <w:rFonts w:ascii="Times New Roman"/>
              </w:rPr>
            </w:pPr>
          </w:p>
        </w:tc>
        <w:tc>
          <w:tcPr>
            <w:tcW w:w="1133" w:type="pct"/>
          </w:tcPr>
          <w:p w14:paraId="7E376415" w14:textId="77777777" w:rsidR="00EA35B6" w:rsidRDefault="00EA35B6" w:rsidP="00A30640">
            <w:pPr>
              <w:pStyle w:val="TableParagraph"/>
              <w:rPr>
                <w:rFonts w:ascii="Times New Roman"/>
              </w:rPr>
            </w:pPr>
          </w:p>
        </w:tc>
        <w:tc>
          <w:tcPr>
            <w:tcW w:w="906" w:type="pct"/>
          </w:tcPr>
          <w:p w14:paraId="2E076B39" w14:textId="77777777" w:rsidR="00EA35B6" w:rsidRDefault="00EA35B6" w:rsidP="00A30640">
            <w:pPr>
              <w:pStyle w:val="TableParagraph"/>
              <w:rPr>
                <w:rFonts w:ascii="Times New Roman"/>
              </w:rPr>
            </w:pPr>
          </w:p>
        </w:tc>
        <w:tc>
          <w:tcPr>
            <w:tcW w:w="1467" w:type="pct"/>
          </w:tcPr>
          <w:p w14:paraId="6DA92B44" w14:textId="77777777" w:rsidR="00EA35B6" w:rsidRDefault="00EA35B6" w:rsidP="00A30640">
            <w:pPr>
              <w:pStyle w:val="TableParagraph"/>
              <w:rPr>
                <w:rFonts w:ascii="Times New Roman"/>
              </w:rPr>
            </w:pPr>
          </w:p>
        </w:tc>
        <w:tc>
          <w:tcPr>
            <w:tcW w:w="679" w:type="pct"/>
          </w:tcPr>
          <w:p w14:paraId="0DEDCD70" w14:textId="77777777" w:rsidR="00EA35B6" w:rsidRDefault="00EA35B6" w:rsidP="00A30640">
            <w:pPr>
              <w:pStyle w:val="TableParagraph"/>
              <w:rPr>
                <w:rFonts w:ascii="Times New Roman"/>
              </w:rPr>
            </w:pPr>
          </w:p>
        </w:tc>
      </w:tr>
      <w:tr w:rsidR="00EA35B6" w14:paraId="5400B805" w14:textId="77777777" w:rsidTr="00EA35B6">
        <w:trPr>
          <w:trHeight w:val="302"/>
        </w:trPr>
        <w:tc>
          <w:tcPr>
            <w:tcW w:w="815" w:type="pct"/>
          </w:tcPr>
          <w:p w14:paraId="47152B61" w14:textId="77777777" w:rsidR="00EA35B6" w:rsidRDefault="00EA35B6" w:rsidP="00A30640">
            <w:pPr>
              <w:pStyle w:val="TableParagraph"/>
              <w:rPr>
                <w:rFonts w:ascii="Times New Roman"/>
              </w:rPr>
            </w:pPr>
          </w:p>
        </w:tc>
        <w:tc>
          <w:tcPr>
            <w:tcW w:w="1133" w:type="pct"/>
          </w:tcPr>
          <w:p w14:paraId="122E0860" w14:textId="77777777" w:rsidR="00EA35B6" w:rsidRDefault="00EA35B6" w:rsidP="00A30640">
            <w:pPr>
              <w:pStyle w:val="TableParagraph"/>
              <w:rPr>
                <w:rFonts w:ascii="Times New Roman"/>
              </w:rPr>
            </w:pPr>
          </w:p>
        </w:tc>
        <w:tc>
          <w:tcPr>
            <w:tcW w:w="906" w:type="pct"/>
          </w:tcPr>
          <w:p w14:paraId="0B040014" w14:textId="77777777" w:rsidR="00EA35B6" w:rsidRDefault="00EA35B6" w:rsidP="00A30640">
            <w:pPr>
              <w:pStyle w:val="TableParagraph"/>
              <w:rPr>
                <w:rFonts w:ascii="Times New Roman"/>
              </w:rPr>
            </w:pPr>
          </w:p>
        </w:tc>
        <w:tc>
          <w:tcPr>
            <w:tcW w:w="1467" w:type="pct"/>
          </w:tcPr>
          <w:p w14:paraId="3383B165" w14:textId="77777777" w:rsidR="00EA35B6" w:rsidRDefault="00EA35B6" w:rsidP="00A30640">
            <w:pPr>
              <w:pStyle w:val="TableParagraph"/>
              <w:rPr>
                <w:rFonts w:ascii="Times New Roman"/>
              </w:rPr>
            </w:pPr>
          </w:p>
        </w:tc>
        <w:tc>
          <w:tcPr>
            <w:tcW w:w="679" w:type="pct"/>
          </w:tcPr>
          <w:p w14:paraId="5E393706" w14:textId="77777777" w:rsidR="00EA35B6" w:rsidRDefault="00EA35B6" w:rsidP="00A30640">
            <w:pPr>
              <w:pStyle w:val="TableParagraph"/>
              <w:rPr>
                <w:rFonts w:ascii="Times New Roman"/>
              </w:rPr>
            </w:pPr>
          </w:p>
        </w:tc>
      </w:tr>
      <w:tr w:rsidR="00EA35B6" w14:paraId="6234558E" w14:textId="77777777" w:rsidTr="00EA35B6">
        <w:trPr>
          <w:trHeight w:val="299"/>
        </w:trPr>
        <w:tc>
          <w:tcPr>
            <w:tcW w:w="815" w:type="pct"/>
          </w:tcPr>
          <w:p w14:paraId="3AA085A9" w14:textId="77777777" w:rsidR="00EA35B6" w:rsidRDefault="00EA35B6" w:rsidP="00A30640">
            <w:pPr>
              <w:pStyle w:val="TableParagraph"/>
              <w:rPr>
                <w:rFonts w:ascii="Times New Roman"/>
              </w:rPr>
            </w:pPr>
          </w:p>
        </w:tc>
        <w:tc>
          <w:tcPr>
            <w:tcW w:w="1133" w:type="pct"/>
          </w:tcPr>
          <w:p w14:paraId="3B34892C" w14:textId="77777777" w:rsidR="00EA35B6" w:rsidRDefault="00EA35B6" w:rsidP="00A30640">
            <w:pPr>
              <w:pStyle w:val="TableParagraph"/>
              <w:rPr>
                <w:rFonts w:ascii="Times New Roman"/>
              </w:rPr>
            </w:pPr>
          </w:p>
        </w:tc>
        <w:tc>
          <w:tcPr>
            <w:tcW w:w="906" w:type="pct"/>
          </w:tcPr>
          <w:p w14:paraId="697F4296" w14:textId="77777777" w:rsidR="00EA35B6" w:rsidRDefault="00EA35B6" w:rsidP="00A30640">
            <w:pPr>
              <w:pStyle w:val="TableParagraph"/>
              <w:rPr>
                <w:rFonts w:ascii="Times New Roman"/>
              </w:rPr>
            </w:pPr>
          </w:p>
        </w:tc>
        <w:tc>
          <w:tcPr>
            <w:tcW w:w="1467" w:type="pct"/>
          </w:tcPr>
          <w:p w14:paraId="522A5A05" w14:textId="77777777" w:rsidR="00EA35B6" w:rsidRDefault="00EA35B6" w:rsidP="00A30640">
            <w:pPr>
              <w:pStyle w:val="TableParagraph"/>
              <w:rPr>
                <w:rFonts w:ascii="Times New Roman"/>
              </w:rPr>
            </w:pPr>
          </w:p>
        </w:tc>
        <w:tc>
          <w:tcPr>
            <w:tcW w:w="679" w:type="pct"/>
          </w:tcPr>
          <w:p w14:paraId="3DCC5060" w14:textId="77777777" w:rsidR="00EA35B6" w:rsidRDefault="00EA35B6" w:rsidP="00A30640">
            <w:pPr>
              <w:pStyle w:val="TableParagraph"/>
              <w:rPr>
                <w:rFonts w:ascii="Times New Roman"/>
              </w:rPr>
            </w:pPr>
          </w:p>
        </w:tc>
      </w:tr>
    </w:tbl>
    <w:p w14:paraId="063EF97B" w14:textId="77777777" w:rsidR="00EA35B6" w:rsidRPr="00EA35B6" w:rsidRDefault="00EA35B6" w:rsidP="00EA35B6">
      <w:pPr>
        <w:tabs>
          <w:tab w:val="left" w:pos="2460"/>
        </w:tabs>
        <w:rPr>
          <w:lang w:val="en-US"/>
        </w:rPr>
      </w:pPr>
    </w:p>
    <w:p w14:paraId="6F1EC8E5" w14:textId="77777777" w:rsidR="00EA35B6" w:rsidRPr="00EA35B6" w:rsidRDefault="00EA35B6" w:rsidP="00EA35B6">
      <w:pPr>
        <w:rPr>
          <w:lang w:val="en-US"/>
        </w:rPr>
      </w:pPr>
    </w:p>
    <w:p w14:paraId="2E3D1672" w14:textId="77777777" w:rsidR="00EA35B6" w:rsidRPr="00EA35B6" w:rsidRDefault="00EA35B6" w:rsidP="00EA35B6">
      <w:pPr>
        <w:rPr>
          <w:lang w:val="en-US"/>
        </w:rPr>
      </w:pPr>
    </w:p>
    <w:p w14:paraId="351265E7" w14:textId="77777777" w:rsidR="00EA35B6" w:rsidRPr="00EA35B6" w:rsidRDefault="00EA35B6" w:rsidP="00EA35B6">
      <w:pPr>
        <w:rPr>
          <w:lang w:val="en-US"/>
        </w:rPr>
      </w:pPr>
    </w:p>
    <w:p w14:paraId="1FB8C74F" w14:textId="77777777" w:rsidR="00EA35B6" w:rsidRPr="00EA35B6" w:rsidRDefault="00EA35B6" w:rsidP="00EA35B6">
      <w:pPr>
        <w:rPr>
          <w:lang w:val="en-US"/>
        </w:rPr>
      </w:pPr>
    </w:p>
    <w:p w14:paraId="669DCCCE" w14:textId="77777777" w:rsidR="00EA35B6" w:rsidRPr="00EA35B6" w:rsidRDefault="00EA35B6" w:rsidP="00EA35B6">
      <w:pPr>
        <w:rPr>
          <w:lang w:val="en-US"/>
        </w:rPr>
      </w:pPr>
    </w:p>
    <w:p w14:paraId="42154641" w14:textId="77777777" w:rsidR="00EA35B6" w:rsidRPr="00EA35B6" w:rsidRDefault="00EA35B6" w:rsidP="00EA35B6">
      <w:pPr>
        <w:rPr>
          <w:lang w:val="en-US"/>
        </w:rPr>
      </w:pPr>
    </w:p>
    <w:p w14:paraId="1DB78978" w14:textId="77777777" w:rsidR="00EA35B6" w:rsidRPr="00EA35B6" w:rsidRDefault="00EA35B6" w:rsidP="00EA35B6">
      <w:pPr>
        <w:rPr>
          <w:lang w:val="en-US"/>
        </w:rPr>
      </w:pPr>
    </w:p>
    <w:p w14:paraId="1459AF92" w14:textId="77777777" w:rsidR="00EA35B6" w:rsidRPr="00EA35B6" w:rsidRDefault="00EA35B6" w:rsidP="00EA35B6">
      <w:pPr>
        <w:rPr>
          <w:lang w:val="en-US"/>
        </w:rPr>
      </w:pPr>
    </w:p>
    <w:p w14:paraId="59E9C8C3" w14:textId="77777777" w:rsidR="00EA35B6" w:rsidRPr="00EA35B6" w:rsidRDefault="00EA35B6" w:rsidP="00EA35B6">
      <w:pPr>
        <w:rPr>
          <w:lang w:val="en-US"/>
        </w:rPr>
      </w:pPr>
    </w:p>
    <w:p w14:paraId="23C41AB1" w14:textId="77777777" w:rsidR="00EA35B6" w:rsidRPr="00EA35B6" w:rsidRDefault="00EA35B6" w:rsidP="00EA35B6">
      <w:pPr>
        <w:rPr>
          <w:lang w:val="en-US"/>
        </w:rPr>
      </w:pPr>
    </w:p>
    <w:p w14:paraId="10521D34" w14:textId="77777777" w:rsidR="00EA35B6" w:rsidRPr="00EA35B6" w:rsidRDefault="00EA35B6" w:rsidP="00EA35B6">
      <w:pPr>
        <w:rPr>
          <w:lang w:val="en-US"/>
        </w:rPr>
      </w:pPr>
    </w:p>
    <w:p w14:paraId="12B489B3" w14:textId="77777777" w:rsidR="00EA35B6" w:rsidRPr="00EA35B6" w:rsidRDefault="00EA35B6" w:rsidP="00EA35B6">
      <w:pPr>
        <w:rPr>
          <w:lang w:val="en-US"/>
        </w:rPr>
      </w:pPr>
    </w:p>
    <w:p w14:paraId="054770EB" w14:textId="77777777" w:rsidR="00EA35B6" w:rsidRPr="00EA35B6" w:rsidRDefault="00EA35B6" w:rsidP="00EA35B6">
      <w:pPr>
        <w:rPr>
          <w:lang w:val="en-US"/>
        </w:rPr>
      </w:pPr>
    </w:p>
    <w:p w14:paraId="0DA1EB48" w14:textId="77777777" w:rsidR="00EA35B6" w:rsidRPr="00EA35B6" w:rsidRDefault="00EA35B6" w:rsidP="00EA35B6">
      <w:pPr>
        <w:rPr>
          <w:lang w:val="en-US"/>
        </w:rPr>
      </w:pPr>
    </w:p>
    <w:p w14:paraId="013297AB" w14:textId="77777777" w:rsidR="00EA35B6" w:rsidRPr="00EA35B6" w:rsidRDefault="00EA35B6" w:rsidP="00EA35B6">
      <w:pPr>
        <w:rPr>
          <w:lang w:val="en-US"/>
        </w:rPr>
      </w:pPr>
    </w:p>
    <w:p w14:paraId="1AEEBCC2" w14:textId="77777777" w:rsidR="00EA35B6" w:rsidRPr="00EA35B6" w:rsidRDefault="00EA35B6" w:rsidP="00EA35B6">
      <w:pPr>
        <w:rPr>
          <w:lang w:val="en-US"/>
        </w:rPr>
      </w:pPr>
    </w:p>
    <w:sectPr w:rsidR="00EA35B6" w:rsidRPr="00EA35B6" w:rsidSect="00247A44">
      <w:headerReference w:type="default" r:id="rId17"/>
      <w:footerReference w:type="defaul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A312" w14:textId="77777777" w:rsidR="00240900" w:rsidRDefault="00240900" w:rsidP="00612667">
      <w:pPr>
        <w:spacing w:after="0" w:line="240" w:lineRule="auto"/>
      </w:pPr>
      <w:r>
        <w:separator/>
      </w:r>
    </w:p>
  </w:endnote>
  <w:endnote w:type="continuationSeparator" w:id="0">
    <w:p w14:paraId="38910E82" w14:textId="77777777" w:rsidR="00240900" w:rsidRDefault="00240900" w:rsidP="00612667">
      <w:pPr>
        <w:spacing w:after="0" w:line="240" w:lineRule="auto"/>
      </w:pPr>
      <w:r>
        <w:continuationSeparator/>
      </w:r>
    </w:p>
  </w:endnote>
  <w:endnote w:type="continuationNotice" w:id="1">
    <w:p w14:paraId="35168351" w14:textId="77777777" w:rsidR="00240900" w:rsidRDefault="00240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88779"/>
      <w:docPartObj>
        <w:docPartGallery w:val="Page Numbers (Bottom of Page)"/>
        <w:docPartUnique/>
      </w:docPartObj>
    </w:sdtPr>
    <w:sdtEndPr>
      <w:rPr>
        <w:noProof/>
      </w:rPr>
    </w:sdtEndPr>
    <w:sdtContent>
      <w:p w14:paraId="43A91C9A" w14:textId="413203F1" w:rsidR="00247A44" w:rsidRDefault="00247A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4A96F" w14:textId="77777777" w:rsidR="00247A44" w:rsidRDefault="00247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77C2" w14:textId="77777777" w:rsidR="00240900" w:rsidRDefault="00240900" w:rsidP="00612667">
      <w:pPr>
        <w:spacing w:after="0" w:line="240" w:lineRule="auto"/>
      </w:pPr>
      <w:r>
        <w:separator/>
      </w:r>
    </w:p>
  </w:footnote>
  <w:footnote w:type="continuationSeparator" w:id="0">
    <w:p w14:paraId="3DB1447B" w14:textId="77777777" w:rsidR="00240900" w:rsidRDefault="00240900" w:rsidP="00612667">
      <w:pPr>
        <w:spacing w:after="0" w:line="240" w:lineRule="auto"/>
      </w:pPr>
      <w:r>
        <w:continuationSeparator/>
      </w:r>
    </w:p>
  </w:footnote>
  <w:footnote w:type="continuationNotice" w:id="1">
    <w:p w14:paraId="22829588" w14:textId="77777777" w:rsidR="00240900" w:rsidRDefault="00240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A0BD" w14:textId="4BE91F3A" w:rsidR="00612667" w:rsidRPr="00F3063D" w:rsidRDefault="00E86C98" w:rsidP="00F3063D">
    <w:pPr>
      <w:pStyle w:val="Header"/>
      <w:pBdr>
        <w:bottom w:val="single" w:sz="4" w:space="8" w:color="156082" w:themeColor="accent1"/>
      </w:pBdr>
      <w:spacing w:after="360"/>
      <w:contextualSpacing/>
      <w:rPr>
        <w:color w:val="404040" w:themeColor="text1" w:themeTint="BF"/>
        <w:sz w:val="28"/>
        <w:szCs w:val="28"/>
      </w:rPr>
    </w:pPr>
    <w:sdt>
      <w:sdtPr>
        <w:rPr>
          <w:color w:val="404040" w:themeColor="text1" w:themeTint="BF"/>
          <w:sz w:val="28"/>
          <w:szCs w:val="28"/>
        </w:rPr>
        <w:alias w:val="Title"/>
        <w:tag w:val=""/>
        <w:id w:val="942040131"/>
        <w:placeholder>
          <w:docPart w:val="1D6BF04FF05141939E6F48BA44E83CFB"/>
        </w:placeholder>
        <w:dataBinding w:prefixMappings="xmlns:ns0='http://purl.org/dc/elements/1.1/' xmlns:ns1='http://schemas.openxmlformats.org/package/2006/metadata/core-properties' " w:xpath="/ns1:coreProperties[1]/ns0:title[1]" w:storeItemID="{6C3C8BC8-F283-45AE-878A-BAB7291924A1}"/>
        <w:text/>
      </w:sdtPr>
      <w:sdtEndPr/>
      <w:sdtContent>
        <w:r w:rsidR="00612667" w:rsidRPr="00F3063D">
          <w:rPr>
            <w:color w:val="404040" w:themeColor="text1" w:themeTint="BF"/>
            <w:sz w:val="28"/>
            <w:szCs w:val="28"/>
          </w:rPr>
          <w:t>Reach Fund Guidelines 202</w:t>
        </w:r>
        <w:r w:rsidR="008D29F0">
          <w:rPr>
            <w:color w:val="404040" w:themeColor="text1" w:themeTint="BF"/>
            <w:sz w:val="28"/>
            <w:szCs w:val="28"/>
          </w:rPr>
          <w:t>6</w:t>
        </w:r>
      </w:sdtContent>
    </w:sdt>
    <w:r w:rsidR="00F3063D" w:rsidRPr="00F3063D">
      <w:rPr>
        <w:color w:val="404040" w:themeColor="text1" w:themeTint="BF"/>
        <w:sz w:val="28"/>
        <w:szCs w:val="28"/>
      </w:rPr>
      <w:t xml:space="preserve">    </w:t>
    </w:r>
    <w:r w:rsidR="00F3063D" w:rsidRPr="00F3063D">
      <w:rPr>
        <w:color w:val="404040" w:themeColor="text1" w:themeTint="BF"/>
        <w:sz w:val="28"/>
        <w:szCs w:val="28"/>
      </w:rPr>
      <w:tab/>
    </w:r>
    <w:r w:rsidR="00F3063D" w:rsidRPr="00F3063D">
      <w:rPr>
        <w:color w:val="404040" w:themeColor="text1" w:themeTint="BF"/>
        <w:sz w:val="28"/>
        <w:szCs w:val="28"/>
      </w:rPr>
      <w:tab/>
      <w:t xml:space="preserve"> </w:t>
    </w:r>
    <w:r w:rsidR="00F3063D" w:rsidRPr="00F3063D">
      <w:rPr>
        <w:noProof/>
        <w:sz w:val="28"/>
        <w:szCs w:val="28"/>
      </w:rPr>
      <w:drawing>
        <wp:inline distT="0" distB="0" distL="0" distR="0" wp14:anchorId="06533B77" wp14:editId="26D0D126">
          <wp:extent cx="749300" cy="676060"/>
          <wp:effectExtent l="0" t="0" r="0" b="0"/>
          <wp:docPr id="162993802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8022"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59" cy="684865"/>
                  </a:xfrm>
                  <a:prstGeom prst="rect">
                    <a:avLst/>
                  </a:prstGeom>
                  <a:noFill/>
                  <a:ln>
                    <a:noFill/>
                  </a:ln>
                </pic:spPr>
              </pic:pic>
            </a:graphicData>
          </a:graphic>
        </wp:inline>
      </w:drawing>
    </w:r>
  </w:p>
  <w:p w14:paraId="09AA18FA" w14:textId="77777777" w:rsidR="00612667" w:rsidRDefault="00612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15D7"/>
    <w:multiLevelType w:val="hybridMultilevel"/>
    <w:tmpl w:val="E33AE936"/>
    <w:lvl w:ilvl="0" w:tplc="F0989078">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 w15:restartNumberingAfterBreak="0">
    <w:nsid w:val="340C6833"/>
    <w:multiLevelType w:val="hybridMultilevel"/>
    <w:tmpl w:val="0476878C"/>
    <w:lvl w:ilvl="0" w:tplc="064A9C84">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45E30F7"/>
    <w:multiLevelType w:val="hybridMultilevel"/>
    <w:tmpl w:val="588428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F86016"/>
    <w:multiLevelType w:val="hybridMultilevel"/>
    <w:tmpl w:val="0DFC010C"/>
    <w:lvl w:ilvl="0" w:tplc="5BE84824">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7E6691"/>
    <w:multiLevelType w:val="hybridMultilevel"/>
    <w:tmpl w:val="516AE1D6"/>
    <w:lvl w:ilvl="0" w:tplc="FF7E1F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FE4358"/>
    <w:multiLevelType w:val="hybridMultilevel"/>
    <w:tmpl w:val="FFFFFFFF"/>
    <w:lvl w:ilvl="0" w:tplc="7ACEC3CC">
      <w:start w:val="1"/>
      <w:numFmt w:val="decimal"/>
      <w:lvlText w:val="%1."/>
      <w:lvlJc w:val="left"/>
      <w:pPr>
        <w:ind w:left="720" w:hanging="360"/>
      </w:pPr>
    </w:lvl>
    <w:lvl w:ilvl="1" w:tplc="266A3E24">
      <w:start w:val="1"/>
      <w:numFmt w:val="lowerLetter"/>
      <w:lvlText w:val="%2."/>
      <w:lvlJc w:val="left"/>
      <w:pPr>
        <w:ind w:left="1440" w:hanging="360"/>
      </w:pPr>
    </w:lvl>
    <w:lvl w:ilvl="2" w:tplc="6996F6C4">
      <w:start w:val="1"/>
      <w:numFmt w:val="lowerRoman"/>
      <w:lvlText w:val="%3."/>
      <w:lvlJc w:val="right"/>
      <w:pPr>
        <w:ind w:left="2160" w:hanging="180"/>
      </w:pPr>
    </w:lvl>
    <w:lvl w:ilvl="3" w:tplc="63D8C57E">
      <w:start w:val="1"/>
      <w:numFmt w:val="decimal"/>
      <w:lvlText w:val="%4."/>
      <w:lvlJc w:val="left"/>
      <w:pPr>
        <w:ind w:left="2880" w:hanging="360"/>
      </w:pPr>
    </w:lvl>
    <w:lvl w:ilvl="4" w:tplc="06A4426A">
      <w:start w:val="1"/>
      <w:numFmt w:val="lowerLetter"/>
      <w:lvlText w:val="%5."/>
      <w:lvlJc w:val="left"/>
      <w:pPr>
        <w:ind w:left="3600" w:hanging="360"/>
      </w:pPr>
    </w:lvl>
    <w:lvl w:ilvl="5" w:tplc="6BAAB450">
      <w:start w:val="1"/>
      <w:numFmt w:val="lowerRoman"/>
      <w:lvlText w:val="%6."/>
      <w:lvlJc w:val="right"/>
      <w:pPr>
        <w:ind w:left="4320" w:hanging="180"/>
      </w:pPr>
    </w:lvl>
    <w:lvl w:ilvl="6" w:tplc="13062BF0">
      <w:start w:val="1"/>
      <w:numFmt w:val="decimal"/>
      <w:lvlText w:val="%7."/>
      <w:lvlJc w:val="left"/>
      <w:pPr>
        <w:ind w:left="5040" w:hanging="360"/>
      </w:pPr>
    </w:lvl>
    <w:lvl w:ilvl="7" w:tplc="1A6C093E">
      <w:start w:val="1"/>
      <w:numFmt w:val="lowerLetter"/>
      <w:lvlText w:val="%8."/>
      <w:lvlJc w:val="left"/>
      <w:pPr>
        <w:ind w:left="5760" w:hanging="360"/>
      </w:pPr>
    </w:lvl>
    <w:lvl w:ilvl="8" w:tplc="03D8B962">
      <w:start w:val="1"/>
      <w:numFmt w:val="lowerRoman"/>
      <w:lvlText w:val="%9."/>
      <w:lvlJc w:val="right"/>
      <w:pPr>
        <w:ind w:left="6480" w:hanging="180"/>
      </w:pPr>
    </w:lvl>
  </w:abstractNum>
  <w:abstractNum w:abstractNumId="6" w15:restartNumberingAfterBreak="0">
    <w:nsid w:val="4167494D"/>
    <w:multiLevelType w:val="hybridMultilevel"/>
    <w:tmpl w:val="A13022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1D24"/>
    <w:multiLevelType w:val="hybridMultilevel"/>
    <w:tmpl w:val="E6501432"/>
    <w:lvl w:ilvl="0" w:tplc="446E8946">
      <w:start w:val="4"/>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E084819"/>
    <w:multiLevelType w:val="hybridMultilevel"/>
    <w:tmpl w:val="E86868A6"/>
    <w:lvl w:ilvl="0" w:tplc="5BE84824">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D276443"/>
    <w:multiLevelType w:val="hybridMultilevel"/>
    <w:tmpl w:val="44C470D8"/>
    <w:lvl w:ilvl="0" w:tplc="14488E44">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0" w15:restartNumberingAfterBreak="0">
    <w:nsid w:val="6B1971A2"/>
    <w:multiLevelType w:val="hybridMultilevel"/>
    <w:tmpl w:val="3FEC92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B5A1BD5"/>
    <w:multiLevelType w:val="hybridMultilevel"/>
    <w:tmpl w:val="3C86468E"/>
    <w:lvl w:ilvl="0" w:tplc="FF7E1F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B7E1A39"/>
    <w:multiLevelType w:val="hybridMultilevel"/>
    <w:tmpl w:val="44D6456A"/>
    <w:lvl w:ilvl="0" w:tplc="FF7E1F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DC1044"/>
    <w:multiLevelType w:val="hybridMultilevel"/>
    <w:tmpl w:val="4E3846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22C4EA7"/>
    <w:multiLevelType w:val="hybridMultilevel"/>
    <w:tmpl w:val="1FECE4A2"/>
    <w:lvl w:ilvl="0" w:tplc="3566F912">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AE7272"/>
    <w:multiLevelType w:val="hybridMultilevel"/>
    <w:tmpl w:val="8584A9E8"/>
    <w:lvl w:ilvl="0" w:tplc="446E8946">
      <w:start w:val="4"/>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7C2D44"/>
    <w:multiLevelType w:val="hybridMultilevel"/>
    <w:tmpl w:val="5EBE2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8575038">
    <w:abstractNumId w:val="5"/>
  </w:num>
  <w:num w:numId="2" w16cid:durableId="172837669">
    <w:abstractNumId w:val="16"/>
  </w:num>
  <w:num w:numId="3" w16cid:durableId="43986369">
    <w:abstractNumId w:val="14"/>
  </w:num>
  <w:num w:numId="4" w16cid:durableId="1473332024">
    <w:abstractNumId w:val="9"/>
  </w:num>
  <w:num w:numId="5" w16cid:durableId="1369840724">
    <w:abstractNumId w:val="0"/>
  </w:num>
  <w:num w:numId="6" w16cid:durableId="390152005">
    <w:abstractNumId w:val="13"/>
  </w:num>
  <w:num w:numId="7" w16cid:durableId="1359769580">
    <w:abstractNumId w:val="1"/>
  </w:num>
  <w:num w:numId="8" w16cid:durableId="2042126887">
    <w:abstractNumId w:val="6"/>
  </w:num>
  <w:num w:numId="9" w16cid:durableId="1713773415">
    <w:abstractNumId w:val="10"/>
  </w:num>
  <w:num w:numId="10" w16cid:durableId="211771943">
    <w:abstractNumId w:val="8"/>
  </w:num>
  <w:num w:numId="11" w16cid:durableId="378089866">
    <w:abstractNumId w:val="3"/>
  </w:num>
  <w:num w:numId="12" w16cid:durableId="1436949261">
    <w:abstractNumId w:val="11"/>
  </w:num>
  <w:num w:numId="13" w16cid:durableId="841120823">
    <w:abstractNumId w:val="7"/>
  </w:num>
  <w:num w:numId="14" w16cid:durableId="107550043">
    <w:abstractNumId w:val="15"/>
  </w:num>
  <w:num w:numId="15" w16cid:durableId="1205289250">
    <w:abstractNumId w:val="12"/>
  </w:num>
  <w:num w:numId="16" w16cid:durableId="328944609">
    <w:abstractNumId w:val="4"/>
  </w:num>
  <w:num w:numId="17" w16cid:durableId="1719470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22"/>
    <w:rsid w:val="000808A7"/>
    <w:rsid w:val="000B0A2D"/>
    <w:rsid w:val="000D05FC"/>
    <w:rsid w:val="001501FF"/>
    <w:rsid w:val="00155915"/>
    <w:rsid w:val="00164F6C"/>
    <w:rsid w:val="00166417"/>
    <w:rsid w:val="001806DA"/>
    <w:rsid w:val="001F640A"/>
    <w:rsid w:val="00214209"/>
    <w:rsid w:val="0022135F"/>
    <w:rsid w:val="00225830"/>
    <w:rsid w:val="00230D9E"/>
    <w:rsid w:val="00240900"/>
    <w:rsid w:val="002411C2"/>
    <w:rsid w:val="00247A44"/>
    <w:rsid w:val="002712B0"/>
    <w:rsid w:val="002A6A3E"/>
    <w:rsid w:val="002C46C0"/>
    <w:rsid w:val="002F5CD1"/>
    <w:rsid w:val="00301C69"/>
    <w:rsid w:val="003378EB"/>
    <w:rsid w:val="00374F7C"/>
    <w:rsid w:val="003948E6"/>
    <w:rsid w:val="003A4D77"/>
    <w:rsid w:val="003C124E"/>
    <w:rsid w:val="003D4055"/>
    <w:rsid w:val="00412906"/>
    <w:rsid w:val="00431201"/>
    <w:rsid w:val="00465455"/>
    <w:rsid w:val="00477223"/>
    <w:rsid w:val="00481873"/>
    <w:rsid w:val="004B5039"/>
    <w:rsid w:val="004E073F"/>
    <w:rsid w:val="004F0544"/>
    <w:rsid w:val="0052710E"/>
    <w:rsid w:val="00545D07"/>
    <w:rsid w:val="0057388D"/>
    <w:rsid w:val="005907C6"/>
    <w:rsid w:val="00593F8A"/>
    <w:rsid w:val="00597464"/>
    <w:rsid w:val="005F2F3D"/>
    <w:rsid w:val="00610BED"/>
    <w:rsid w:val="00612667"/>
    <w:rsid w:val="00621752"/>
    <w:rsid w:val="00696A56"/>
    <w:rsid w:val="00731617"/>
    <w:rsid w:val="00762884"/>
    <w:rsid w:val="00790F5E"/>
    <w:rsid w:val="007A704D"/>
    <w:rsid w:val="007C23CF"/>
    <w:rsid w:val="007D61BD"/>
    <w:rsid w:val="007F1B8A"/>
    <w:rsid w:val="0089667F"/>
    <w:rsid w:val="008B3978"/>
    <w:rsid w:val="008D29F0"/>
    <w:rsid w:val="00907FC5"/>
    <w:rsid w:val="00911B78"/>
    <w:rsid w:val="00946A29"/>
    <w:rsid w:val="009560AB"/>
    <w:rsid w:val="00956E05"/>
    <w:rsid w:val="0095732C"/>
    <w:rsid w:val="009A29F3"/>
    <w:rsid w:val="009E02FE"/>
    <w:rsid w:val="00A043D5"/>
    <w:rsid w:val="00A30640"/>
    <w:rsid w:val="00A44CDA"/>
    <w:rsid w:val="00A54CE8"/>
    <w:rsid w:val="00B01DF1"/>
    <w:rsid w:val="00B111B3"/>
    <w:rsid w:val="00B20376"/>
    <w:rsid w:val="00B227F9"/>
    <w:rsid w:val="00B52160"/>
    <w:rsid w:val="00B64646"/>
    <w:rsid w:val="00B7696F"/>
    <w:rsid w:val="00B94896"/>
    <w:rsid w:val="00C06BAD"/>
    <w:rsid w:val="00C367BD"/>
    <w:rsid w:val="00C406D2"/>
    <w:rsid w:val="00C52AA7"/>
    <w:rsid w:val="00CB19C6"/>
    <w:rsid w:val="00D424DF"/>
    <w:rsid w:val="00D53919"/>
    <w:rsid w:val="00D768BC"/>
    <w:rsid w:val="00DA7C1D"/>
    <w:rsid w:val="00DE0CB0"/>
    <w:rsid w:val="00E3393E"/>
    <w:rsid w:val="00E47D10"/>
    <w:rsid w:val="00E6274C"/>
    <w:rsid w:val="00E86C98"/>
    <w:rsid w:val="00EA35B6"/>
    <w:rsid w:val="00EB4A81"/>
    <w:rsid w:val="00EC4BE9"/>
    <w:rsid w:val="00EE62B8"/>
    <w:rsid w:val="00EF4D60"/>
    <w:rsid w:val="00F2350D"/>
    <w:rsid w:val="00F3063D"/>
    <w:rsid w:val="00F65D16"/>
    <w:rsid w:val="00F672B3"/>
    <w:rsid w:val="00F91CB9"/>
    <w:rsid w:val="00FC6E22"/>
    <w:rsid w:val="00FE3234"/>
    <w:rsid w:val="00FE5B7B"/>
    <w:rsid w:val="00FF4729"/>
    <w:rsid w:val="041B1B0E"/>
    <w:rsid w:val="055D0D6D"/>
    <w:rsid w:val="09A2CF5D"/>
    <w:rsid w:val="0D5D7640"/>
    <w:rsid w:val="0D80F592"/>
    <w:rsid w:val="0FE10F85"/>
    <w:rsid w:val="1043B16E"/>
    <w:rsid w:val="19AA65A7"/>
    <w:rsid w:val="1BCD487F"/>
    <w:rsid w:val="1EB02A72"/>
    <w:rsid w:val="2089D8AC"/>
    <w:rsid w:val="22B56B0D"/>
    <w:rsid w:val="2321BF40"/>
    <w:rsid w:val="27517F4A"/>
    <w:rsid w:val="2B40A3E6"/>
    <w:rsid w:val="2B69FBEF"/>
    <w:rsid w:val="2F52A7FE"/>
    <w:rsid w:val="316AF327"/>
    <w:rsid w:val="31FE161E"/>
    <w:rsid w:val="32BF126D"/>
    <w:rsid w:val="3342A67C"/>
    <w:rsid w:val="35AC2729"/>
    <w:rsid w:val="364C5FB4"/>
    <w:rsid w:val="3B22B209"/>
    <w:rsid w:val="3C1179DB"/>
    <w:rsid w:val="3C64465A"/>
    <w:rsid w:val="3F28EF86"/>
    <w:rsid w:val="406A9F4A"/>
    <w:rsid w:val="435C4ED5"/>
    <w:rsid w:val="4430285C"/>
    <w:rsid w:val="44761120"/>
    <w:rsid w:val="455A4B73"/>
    <w:rsid w:val="48131CE8"/>
    <w:rsid w:val="49890C0F"/>
    <w:rsid w:val="4D1D6970"/>
    <w:rsid w:val="51B15BC0"/>
    <w:rsid w:val="52694EC9"/>
    <w:rsid w:val="545546F4"/>
    <w:rsid w:val="54BBD993"/>
    <w:rsid w:val="5E8D7037"/>
    <w:rsid w:val="6C04C75B"/>
    <w:rsid w:val="6D98F5B7"/>
    <w:rsid w:val="6EB5A4D1"/>
    <w:rsid w:val="6EF4D2D8"/>
    <w:rsid w:val="7167A47C"/>
    <w:rsid w:val="73A508EE"/>
    <w:rsid w:val="74A80D7E"/>
    <w:rsid w:val="76E8067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3363"/>
  <w15:chartTrackingRefBased/>
  <w15:docId w15:val="{4217B42B-1072-48C7-B2EE-20625326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E22"/>
    <w:rPr>
      <w:rFonts w:eastAsiaTheme="majorEastAsia" w:cstheme="majorBidi"/>
      <w:color w:val="272727" w:themeColor="text1" w:themeTint="D8"/>
    </w:rPr>
  </w:style>
  <w:style w:type="paragraph" w:styleId="Title">
    <w:name w:val="Title"/>
    <w:basedOn w:val="Normal"/>
    <w:next w:val="Normal"/>
    <w:link w:val="TitleChar"/>
    <w:uiPriority w:val="10"/>
    <w:qFormat/>
    <w:rsid w:val="00FC6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E22"/>
    <w:pPr>
      <w:spacing w:before="160"/>
      <w:jc w:val="center"/>
    </w:pPr>
    <w:rPr>
      <w:i/>
      <w:iCs/>
      <w:color w:val="404040" w:themeColor="text1" w:themeTint="BF"/>
    </w:rPr>
  </w:style>
  <w:style w:type="character" w:customStyle="1" w:styleId="QuoteChar">
    <w:name w:val="Quote Char"/>
    <w:basedOn w:val="DefaultParagraphFont"/>
    <w:link w:val="Quote"/>
    <w:uiPriority w:val="29"/>
    <w:rsid w:val="00FC6E22"/>
    <w:rPr>
      <w:i/>
      <w:iCs/>
      <w:color w:val="404040" w:themeColor="text1" w:themeTint="BF"/>
    </w:rPr>
  </w:style>
  <w:style w:type="paragraph" w:styleId="ListParagraph">
    <w:name w:val="List Paragraph"/>
    <w:basedOn w:val="Normal"/>
    <w:uiPriority w:val="34"/>
    <w:qFormat/>
    <w:rsid w:val="00FC6E22"/>
    <w:pPr>
      <w:ind w:left="720"/>
      <w:contextualSpacing/>
    </w:pPr>
  </w:style>
  <w:style w:type="character" w:styleId="IntenseEmphasis">
    <w:name w:val="Intense Emphasis"/>
    <w:basedOn w:val="DefaultParagraphFont"/>
    <w:uiPriority w:val="21"/>
    <w:qFormat/>
    <w:rsid w:val="00FC6E22"/>
    <w:rPr>
      <w:i/>
      <w:iCs/>
      <w:color w:val="0F4761" w:themeColor="accent1" w:themeShade="BF"/>
    </w:rPr>
  </w:style>
  <w:style w:type="paragraph" w:styleId="IntenseQuote">
    <w:name w:val="Intense Quote"/>
    <w:basedOn w:val="Normal"/>
    <w:next w:val="Normal"/>
    <w:link w:val="IntenseQuoteChar"/>
    <w:uiPriority w:val="30"/>
    <w:qFormat/>
    <w:rsid w:val="00FC6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E22"/>
    <w:rPr>
      <w:i/>
      <w:iCs/>
      <w:color w:val="0F4761" w:themeColor="accent1" w:themeShade="BF"/>
    </w:rPr>
  </w:style>
  <w:style w:type="character" w:styleId="IntenseReference">
    <w:name w:val="Intense Reference"/>
    <w:basedOn w:val="DefaultParagraphFont"/>
    <w:uiPriority w:val="32"/>
    <w:qFormat/>
    <w:rsid w:val="00FC6E22"/>
    <w:rPr>
      <w:b/>
      <w:bCs/>
      <w:smallCaps/>
      <w:color w:val="0F4761" w:themeColor="accent1" w:themeShade="BF"/>
      <w:spacing w:val="5"/>
    </w:rPr>
  </w:style>
  <w:style w:type="paragraph" w:styleId="BodyText">
    <w:name w:val="Body Text"/>
    <w:basedOn w:val="Normal"/>
    <w:link w:val="BodyTextChar"/>
    <w:uiPriority w:val="1"/>
    <w:qFormat/>
    <w:rsid w:val="00FC6E22"/>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FC6E22"/>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790F5E"/>
    <w:rPr>
      <w:color w:val="467886" w:themeColor="hyperlink"/>
      <w:u w:val="single"/>
    </w:rPr>
  </w:style>
  <w:style w:type="character" w:styleId="UnresolvedMention">
    <w:name w:val="Unresolved Mention"/>
    <w:basedOn w:val="DefaultParagraphFont"/>
    <w:uiPriority w:val="99"/>
    <w:semiHidden/>
    <w:unhideWhenUsed/>
    <w:rsid w:val="00790F5E"/>
    <w:rPr>
      <w:color w:val="605E5C"/>
      <w:shd w:val="clear" w:color="auto" w:fill="E1DFDD"/>
    </w:rPr>
  </w:style>
  <w:style w:type="paragraph" w:styleId="Header">
    <w:name w:val="header"/>
    <w:basedOn w:val="Normal"/>
    <w:link w:val="HeaderChar"/>
    <w:uiPriority w:val="99"/>
    <w:unhideWhenUsed/>
    <w:rsid w:val="00612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667"/>
  </w:style>
  <w:style w:type="paragraph" w:styleId="Footer">
    <w:name w:val="footer"/>
    <w:basedOn w:val="Normal"/>
    <w:link w:val="FooterChar"/>
    <w:uiPriority w:val="99"/>
    <w:unhideWhenUsed/>
    <w:rsid w:val="00612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667"/>
  </w:style>
  <w:style w:type="paragraph" w:customStyle="1" w:styleId="TableParagraph">
    <w:name w:val="Table Paragraph"/>
    <w:basedOn w:val="Normal"/>
    <w:uiPriority w:val="1"/>
    <w:qFormat/>
    <w:rsid w:val="00EA35B6"/>
    <w:pPr>
      <w:widowControl w:val="0"/>
      <w:autoSpaceDE w:val="0"/>
      <w:autoSpaceDN w:val="0"/>
      <w:spacing w:after="0" w:line="240" w:lineRule="auto"/>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4519">
      <w:bodyDiv w:val="1"/>
      <w:marLeft w:val="0"/>
      <w:marRight w:val="0"/>
      <w:marTop w:val="0"/>
      <w:marBottom w:val="0"/>
      <w:divBdr>
        <w:top w:val="none" w:sz="0" w:space="0" w:color="auto"/>
        <w:left w:val="none" w:sz="0" w:space="0" w:color="auto"/>
        <w:bottom w:val="none" w:sz="0" w:space="0" w:color="auto"/>
        <w:right w:val="none" w:sz="0" w:space="0" w:color="auto"/>
      </w:divBdr>
    </w:div>
    <w:div w:id="13040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es.cdetb.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orms.office.com/e/W7YtfLpgk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us06web.zoom.us/j/89089360625"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6web.zoom.us/j/812323573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BF04FF05141939E6F48BA44E83CFB"/>
        <w:category>
          <w:name w:val="General"/>
          <w:gallery w:val="placeholder"/>
        </w:category>
        <w:types>
          <w:type w:val="bbPlcHdr"/>
        </w:types>
        <w:behaviors>
          <w:behavior w:val="content"/>
        </w:behaviors>
        <w:guid w:val="{12E3C8A3-7FF5-4BAA-8A48-4D4AFCF082EA}"/>
      </w:docPartPr>
      <w:docPartBody>
        <w:p w:rsidR="00777CB3" w:rsidRDefault="000B0A2D" w:rsidP="000B0A2D">
          <w:pPr>
            <w:pStyle w:val="1D6BF04FF05141939E6F48BA44E83CF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2D"/>
    <w:rsid w:val="000B0A2D"/>
    <w:rsid w:val="00155915"/>
    <w:rsid w:val="00155B86"/>
    <w:rsid w:val="001974F2"/>
    <w:rsid w:val="00214209"/>
    <w:rsid w:val="003D4055"/>
    <w:rsid w:val="004C4373"/>
    <w:rsid w:val="004E073F"/>
    <w:rsid w:val="004F0544"/>
    <w:rsid w:val="00530A29"/>
    <w:rsid w:val="00537182"/>
    <w:rsid w:val="00581058"/>
    <w:rsid w:val="00597464"/>
    <w:rsid w:val="00696A56"/>
    <w:rsid w:val="00731617"/>
    <w:rsid w:val="00777CB3"/>
    <w:rsid w:val="0089011E"/>
    <w:rsid w:val="00891EC9"/>
    <w:rsid w:val="00946A29"/>
    <w:rsid w:val="00B70DEE"/>
    <w:rsid w:val="00D13E66"/>
    <w:rsid w:val="00DA7C1D"/>
    <w:rsid w:val="00DE6B72"/>
    <w:rsid w:val="00EB4A81"/>
    <w:rsid w:val="00EE7A8F"/>
    <w:rsid w:val="00F65D1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BF04FF05141939E6F48BA44E83CFB">
    <w:name w:val="1D6BF04FF05141939E6F48BA44E83CFB"/>
    <w:rsid w:val="000B0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3625847B0464FADB0CDB27FC63863" ma:contentTypeVersion="18" ma:contentTypeDescription="Create a new document." ma:contentTypeScope="" ma:versionID="f896ba75921fbddaba755b83db97877b">
  <xsd:schema xmlns:xsd="http://www.w3.org/2001/XMLSchema" xmlns:xs="http://www.w3.org/2001/XMLSchema" xmlns:p="http://schemas.microsoft.com/office/2006/metadata/properties" xmlns:ns2="67598b55-0a1b-4811-aaaa-a7fcd78b29a2" xmlns:ns3="08b5c890-0226-4d1a-af35-dee60113dbb2" targetNamespace="http://schemas.microsoft.com/office/2006/metadata/properties" ma:root="true" ma:fieldsID="810ee93d18dfdce5326f8703dd6b7718" ns2:_="" ns3:_="">
    <xsd:import namespace="67598b55-0a1b-4811-aaaa-a7fcd78b29a2"/>
    <xsd:import namespace="08b5c890-0226-4d1a-af35-dee60113db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hecked"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Note" minOccurs="0"/>
                <xsd:element ref="ns2:Allin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98b55-0a1b-4811-aaaa-a7fcd78b2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d6df33-68c8-45a7-b8e0-81627f6e48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Checked" ma:index="17" nillable="true" ma:displayName="Checked" ma:default="1" ma:format="Dropdown" ma:internalName="Checked">
      <xsd:simpleType>
        <xsd:restriction base="dms:Boolea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format="Dropdown" ma:internalName="Note">
      <xsd:simpleType>
        <xsd:restriction base="dms:Text">
          <xsd:maxLength value="255"/>
        </xsd:restriction>
      </xsd:simpleType>
    </xsd:element>
    <xsd:element name="Allinorder" ma:index="24" nillable="true" ma:displayName="EH Payment Review" ma:default="1" ma:format="Dropdown" ma:internalName="Allinor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b5c890-0226-4d1a-af35-dee60113db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eb988e-0b30-4176-992b-58ec07d08cf9}" ma:internalName="TaxCatchAll" ma:showField="CatchAllData" ma:web="08b5c890-0226-4d1a-af35-dee60113db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98b55-0a1b-4811-aaaa-a7fcd78b29a2">
      <Terms xmlns="http://schemas.microsoft.com/office/infopath/2007/PartnerControls"/>
    </lcf76f155ced4ddcb4097134ff3c332f>
    <TaxCatchAll xmlns="08b5c890-0226-4d1a-af35-dee60113dbb2" xsi:nil="true"/>
    <Checked xmlns="67598b55-0a1b-4811-aaaa-a7fcd78b29a2">true</Checked>
    <Note xmlns="67598b55-0a1b-4811-aaaa-a7fcd78b29a2" xsi:nil="true"/>
    <Allinorder xmlns="67598b55-0a1b-4811-aaaa-a7fcd78b29a2">true</Allinorder>
  </documentManagement>
</p:properties>
</file>

<file path=customXml/itemProps1.xml><?xml version="1.0" encoding="utf-8"?>
<ds:datastoreItem xmlns:ds="http://schemas.openxmlformats.org/officeDocument/2006/customXml" ds:itemID="{E5D471E5-F3BC-4A0E-9467-4327393E2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98b55-0a1b-4811-aaaa-a7fcd78b29a2"/>
    <ds:schemaRef ds:uri="08b5c890-0226-4d1a-af35-dee60113d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A42B3-AA84-46C2-8205-308323DB835D}">
  <ds:schemaRefs>
    <ds:schemaRef ds:uri="http://schemas.microsoft.com/sharepoint/v3/contenttype/forms"/>
  </ds:schemaRefs>
</ds:datastoreItem>
</file>

<file path=customXml/itemProps3.xml><?xml version="1.0" encoding="utf-8"?>
<ds:datastoreItem xmlns:ds="http://schemas.openxmlformats.org/officeDocument/2006/customXml" ds:itemID="{006C8842-7292-4A05-BDCF-BD0E2DA94CA0}">
  <ds:schemaRefs>
    <ds:schemaRef ds:uri="http://schemas.microsoft.com/office/2006/metadata/properties"/>
    <ds:schemaRef ds:uri="http://purl.org/dc/elements/1.1/"/>
    <ds:schemaRef ds:uri="http://www.w3.org/XML/1998/namespace"/>
    <ds:schemaRef ds:uri="http://purl.org/dc/dcmitype/"/>
    <ds:schemaRef ds:uri="67598b55-0a1b-4811-aaaa-a7fcd78b29a2"/>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8b5c890-0226-4d1a-af35-dee60113db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 Fund Guidelines 2026</dc:title>
  <dc:subject/>
  <dc:creator>Caoimhe Kerins</dc:creator>
  <cp:keywords/>
  <dc:description/>
  <cp:lastModifiedBy>Caoimhe Kerins</cp:lastModifiedBy>
  <cp:revision>2</cp:revision>
  <dcterms:created xsi:type="dcterms:W3CDTF">2026-01-05T16:53:00Z</dcterms:created>
  <dcterms:modified xsi:type="dcterms:W3CDTF">2026-01-05T16:53:00Z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0x0101001C13625847B0464FADB0CDB27FC63863</vt:lpwstr>
  </property>
  <property fmtid="{D5CDD505-2E9C-101B-9397-08002B2CF9AE}" pid="3" name="MediaServiceImageTags">
    <vt:lpwstr/>
  </property>
</Properties>
</file>